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0DE5" w14:textId="77777777" w:rsidR="00401C8A" w:rsidRDefault="00401C8A">
      <w:pPr>
        <w:pStyle w:val="Title"/>
        <w:rPr>
          <w:sz w:val="32"/>
          <w:lang w:val="fr-FR"/>
        </w:rPr>
      </w:pPr>
      <w:r>
        <w:rPr>
          <w:sz w:val="32"/>
          <w:lang w:val="fr-FR"/>
        </w:rPr>
        <w:t>Avinash Verma</w:t>
      </w:r>
    </w:p>
    <w:p w14:paraId="0B3FEE39" w14:textId="77777777" w:rsidR="00401C8A" w:rsidRPr="004A19E6" w:rsidRDefault="00401C8A">
      <w:pPr>
        <w:pStyle w:val="Title"/>
        <w:rPr>
          <w:b w:val="0"/>
          <w:bCs/>
          <w:smallCaps w:val="0"/>
          <w:sz w:val="12"/>
          <w:szCs w:val="12"/>
          <w:lang w:val="fr-F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18"/>
        <w:gridCol w:w="5584"/>
      </w:tblGrid>
      <w:tr w:rsidR="00401C8A" w14:paraId="2EBB7BB0" w14:textId="77777777" w:rsidTr="001E0C1C">
        <w:tc>
          <w:tcPr>
            <w:tcW w:w="3618" w:type="dxa"/>
          </w:tcPr>
          <w:p w14:paraId="2EA2C6FE" w14:textId="77777777" w:rsidR="009D0499" w:rsidRDefault="009D0499" w:rsidP="009D049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 Twin View Dr.</w:t>
            </w:r>
          </w:p>
          <w:p w14:paraId="35B8C049" w14:textId="77777777" w:rsidR="00401C8A" w:rsidRPr="0065443C" w:rsidRDefault="009D0499" w:rsidP="009D049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Sequim, WA 98382 </w:t>
            </w:r>
          </w:p>
        </w:tc>
        <w:tc>
          <w:tcPr>
            <w:tcW w:w="5584" w:type="dxa"/>
          </w:tcPr>
          <w:p w14:paraId="0BB58B56" w14:textId="77777777" w:rsidR="00BF70A5" w:rsidRDefault="003438F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213 379 3041 (cell)</w:t>
            </w:r>
          </w:p>
          <w:p w14:paraId="4EAF1B69" w14:textId="77777777" w:rsidR="00401C8A" w:rsidRPr="00BB617B" w:rsidRDefault="00A21FCC">
            <w:pPr>
              <w:jc w:val="right"/>
              <w:rPr>
                <w:rFonts w:ascii="Times New Roman" w:hAnsi="Times New Roman"/>
                <w:i/>
                <w:sz w:val="22"/>
              </w:rPr>
            </w:pPr>
            <w:hyperlink r:id="rId7" w:history="1">
              <w:r w:rsidR="00401C8A" w:rsidRPr="00BB617B">
                <w:rPr>
                  <w:rStyle w:val="Hyperlink"/>
                  <w:rFonts w:ascii="Times New Roman" w:hAnsi="Times New Roman"/>
                  <w:i/>
                  <w:sz w:val="22"/>
                </w:rPr>
                <w:t>av02145@yahoo.com</w:t>
              </w:r>
            </w:hyperlink>
            <w:r w:rsidR="001E0C1C" w:rsidRPr="00BB617B">
              <w:rPr>
                <w:rStyle w:val="Hyperlink"/>
                <w:rFonts w:ascii="Times New Roman" w:hAnsi="Times New Roman"/>
                <w:i/>
                <w:sz w:val="22"/>
              </w:rPr>
              <w:t>; av</w:t>
            </w:r>
            <w:r w:rsidR="009D0499" w:rsidRPr="00BB617B">
              <w:rPr>
                <w:rStyle w:val="Hyperlink"/>
                <w:rFonts w:ascii="Times New Roman" w:hAnsi="Times New Roman"/>
                <w:i/>
                <w:sz w:val="22"/>
              </w:rPr>
              <w:t>inash.verma@</w:t>
            </w:r>
            <w:r w:rsidR="001E0C1C" w:rsidRPr="00BB617B">
              <w:rPr>
                <w:rStyle w:val="Hyperlink"/>
                <w:rFonts w:ascii="Times New Roman" w:hAnsi="Times New Roman"/>
                <w:i/>
                <w:sz w:val="22"/>
              </w:rPr>
              <w:t>berkeley.edu</w:t>
            </w:r>
            <w:r w:rsidR="00401C8A" w:rsidRPr="00BB617B">
              <w:rPr>
                <w:rFonts w:ascii="Times New Roman" w:hAnsi="Times New Roman"/>
                <w:i/>
                <w:sz w:val="22"/>
              </w:rPr>
              <w:t xml:space="preserve"> </w:t>
            </w:r>
          </w:p>
        </w:tc>
      </w:tr>
    </w:tbl>
    <w:p w14:paraId="6984E208" w14:textId="77777777" w:rsidR="00401C8A" w:rsidRDefault="00401C8A">
      <w:pPr>
        <w:rPr>
          <w:rFonts w:ascii="Times New Roman" w:hAnsi="Times New Roman"/>
          <w:sz w:val="16"/>
          <w:lang w:val="fr-FR"/>
        </w:rPr>
      </w:pPr>
    </w:p>
    <w:p w14:paraId="29E0379B" w14:textId="77777777" w:rsidR="00401C8A" w:rsidRDefault="00401C8A">
      <w:pPr>
        <w:pStyle w:val="Heading2"/>
        <w:tabs>
          <w:tab w:val="left" w:pos="0"/>
        </w:tabs>
        <w:suppressAutoHyphens/>
        <w:rPr>
          <w:u w:val="none"/>
        </w:rPr>
      </w:pPr>
      <w:r>
        <w:rPr>
          <w:u w:val="none"/>
        </w:rPr>
        <w:t>EDUCATION</w:t>
      </w:r>
    </w:p>
    <w:p w14:paraId="19C201F7" w14:textId="77777777" w:rsidR="00401C8A" w:rsidRPr="00A038B2" w:rsidRDefault="00401C8A">
      <w:pPr>
        <w:tabs>
          <w:tab w:val="left" w:pos="0"/>
        </w:tabs>
        <w:suppressAutoHyphens/>
        <w:rPr>
          <w:rFonts w:ascii="Times New Roman" w:hAnsi="Times New Roman"/>
          <w:sz w:val="6"/>
          <w:szCs w:val="6"/>
        </w:rPr>
      </w:pPr>
    </w:p>
    <w:p w14:paraId="42D20D3D" w14:textId="77777777" w:rsidR="00401C8A" w:rsidRDefault="00401C8A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Ph.D</w:t>
      </w:r>
      <w:r>
        <w:rPr>
          <w:rFonts w:ascii="Times New Roman" w:hAnsi="Times New Roman"/>
          <w:sz w:val="24"/>
        </w:rPr>
        <w:t xml:space="preserve">., Finance,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  <w:r w:rsidR="00280F5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="00280F59">
            <w:rPr>
              <w:rFonts w:ascii="Times New Roman" w:hAnsi="Times New Roman"/>
              <w:sz w:val="24"/>
            </w:rPr>
            <w:t>CA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0F52B2F5" w14:textId="77777777" w:rsidR="00401C8A" w:rsidRDefault="00401C8A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MBA</w:t>
      </w:r>
      <w:r>
        <w:rPr>
          <w:rFonts w:ascii="Times New Roman" w:hAnsi="Times New Roman"/>
          <w:sz w:val="24"/>
        </w:rPr>
        <w:t xml:space="preserve">, Finance and Marketing,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Delhi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Delhi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India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72A813A7" w14:textId="77777777" w:rsidR="00401C8A" w:rsidRDefault="00401C8A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B.Sc</w:t>
      </w:r>
      <w:r>
        <w:rPr>
          <w:rFonts w:ascii="Times New Roman" w:hAnsi="Times New Roman"/>
          <w:sz w:val="24"/>
        </w:rPr>
        <w:t xml:space="preserve">., Physics Mathematics and Chemistry, </w:t>
      </w:r>
      <w:proofErr w:type="spellStart"/>
      <w:smartTag w:uri="urn:schemas-microsoft-com:office:smarttags" w:element="PlaceName">
        <w:r>
          <w:rPr>
            <w:rFonts w:ascii="Times New Roman" w:hAnsi="Times New Roman"/>
            <w:sz w:val="24"/>
          </w:rPr>
          <w:t>Jiwaji</w:t>
        </w:r>
      </w:smartTag>
      <w:proofErr w:type="spellEnd"/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Gwalior</w:t>
        </w:r>
      </w:smartTag>
      <w:r>
        <w:rPr>
          <w:rFonts w:ascii="Times New Roman" w:hAnsi="Times New Roman"/>
          <w:sz w:val="24"/>
        </w:rPr>
        <w:t xml:space="preserve">, </w:t>
      </w:r>
      <w:r w:rsidR="00280F59">
        <w:rPr>
          <w:rFonts w:ascii="Times New Roman" w:hAnsi="Times New Roman"/>
          <w:sz w:val="24"/>
        </w:rPr>
        <w:t>M.P.</w:t>
      </w:r>
      <w:r w:rsidR="00632C6D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India</w:t>
          </w:r>
        </w:smartTag>
      </w:smartTag>
      <w:r>
        <w:rPr>
          <w:rFonts w:ascii="Times New Roman" w:hAnsi="Times New Roman"/>
          <w:sz w:val="24"/>
        </w:rPr>
        <w:t>.</w:t>
      </w:r>
    </w:p>
    <w:p w14:paraId="3506E5C7" w14:textId="77777777" w:rsidR="00401C8A" w:rsidRDefault="00401C8A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18"/>
        </w:rPr>
      </w:pPr>
    </w:p>
    <w:p w14:paraId="64A9E3B9" w14:textId="77777777" w:rsidR="00B44E63" w:rsidRDefault="00B44E63" w:rsidP="00B44E63">
      <w:p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EXPERIENCE</w:t>
      </w:r>
    </w:p>
    <w:p w14:paraId="649227A4" w14:textId="77777777" w:rsidR="00B44E63" w:rsidRPr="00A038B2" w:rsidRDefault="00B44E63" w:rsidP="00B44E63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340"/>
        <w:gridCol w:w="6480"/>
      </w:tblGrid>
      <w:tr w:rsidR="00B44E63" w:rsidRPr="00A438A7" w14:paraId="7F82AF1B" w14:textId="77777777" w:rsidTr="00E7248B">
        <w:trPr>
          <w:trHeight w:val="333"/>
        </w:trPr>
        <w:tc>
          <w:tcPr>
            <w:tcW w:w="8820" w:type="dxa"/>
            <w:gridSpan w:val="2"/>
          </w:tcPr>
          <w:p w14:paraId="5607ACF2" w14:textId="77777777" w:rsidR="00B44E63" w:rsidRPr="00A438A7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mallCaps/>
                <w:sz w:val="24"/>
                <w:u w:val="single"/>
              </w:rPr>
            </w:pPr>
            <w:r w:rsidRPr="00A438A7">
              <w:rPr>
                <w:rFonts w:ascii="Times New Roman" w:hAnsi="Times New Roman"/>
                <w:smallCaps/>
                <w:sz w:val="24"/>
                <w:u w:val="single"/>
              </w:rPr>
              <w:t>Academic Experience</w:t>
            </w:r>
          </w:p>
        </w:tc>
      </w:tr>
      <w:tr w:rsidR="00C5341A" w14:paraId="4DE42E07" w14:textId="77777777" w:rsidTr="00E7248B">
        <w:trPr>
          <w:trHeight w:val="387"/>
        </w:trPr>
        <w:tc>
          <w:tcPr>
            <w:tcW w:w="2340" w:type="dxa"/>
          </w:tcPr>
          <w:p w14:paraId="53848DED" w14:textId="77777777" w:rsidR="00C5341A" w:rsidRDefault="00C5341A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2007-date, 1999-2003</w:t>
            </w:r>
          </w:p>
        </w:tc>
        <w:tc>
          <w:tcPr>
            <w:tcW w:w="6480" w:type="dxa"/>
          </w:tcPr>
          <w:p w14:paraId="1F45A553" w14:textId="77777777" w:rsidR="00C5341A" w:rsidRDefault="00C5341A" w:rsidP="00E7248B">
            <w:pPr>
              <w:pStyle w:val="BodyText"/>
              <w:tabs>
                <w:tab w:val="clear" w:pos="1980"/>
                <w:tab w:val="clear" w:pos="2160"/>
                <w:tab w:val="left" w:pos="1440"/>
              </w:tabs>
            </w:pPr>
            <w:r>
              <w:t>Lecturer, Haas School of Business, University of California at Berkeley</w:t>
            </w:r>
          </w:p>
        </w:tc>
      </w:tr>
      <w:tr w:rsidR="00B44E63" w14:paraId="76809F7B" w14:textId="77777777" w:rsidTr="00E7248B">
        <w:trPr>
          <w:trHeight w:val="387"/>
        </w:trPr>
        <w:tc>
          <w:tcPr>
            <w:tcW w:w="2340" w:type="dxa"/>
          </w:tcPr>
          <w:p w14:paraId="45C6AA52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2010-2011</w:t>
            </w:r>
          </w:p>
        </w:tc>
        <w:tc>
          <w:tcPr>
            <w:tcW w:w="6480" w:type="dxa"/>
          </w:tcPr>
          <w:p w14:paraId="7180D537" w14:textId="77777777" w:rsidR="00B44E63" w:rsidRDefault="00B44E63" w:rsidP="00E7248B">
            <w:pPr>
              <w:pStyle w:val="BodyText"/>
              <w:tabs>
                <w:tab w:val="clear" w:pos="1980"/>
                <w:tab w:val="clear" w:pos="2160"/>
                <w:tab w:val="left" w:pos="1440"/>
              </w:tabs>
            </w:pPr>
            <w:r>
              <w:t>A. Gary Anderson Graduate School of Management, University of California, Riverside, CA</w:t>
            </w:r>
          </w:p>
        </w:tc>
      </w:tr>
      <w:tr w:rsidR="00B44E63" w14:paraId="06449A18" w14:textId="77777777" w:rsidTr="00E7248B">
        <w:trPr>
          <w:trHeight w:val="387"/>
        </w:trPr>
        <w:tc>
          <w:tcPr>
            <w:tcW w:w="2340" w:type="dxa"/>
          </w:tcPr>
          <w:p w14:paraId="3F731F4E" w14:textId="77777777" w:rsidR="00B44E63" w:rsidRPr="0065443C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2008-2010</w:t>
            </w:r>
          </w:p>
        </w:tc>
        <w:tc>
          <w:tcPr>
            <w:tcW w:w="6480" w:type="dxa"/>
          </w:tcPr>
          <w:p w14:paraId="3E84C349" w14:textId="77777777" w:rsidR="00B44E63" w:rsidRDefault="00B44E63" w:rsidP="00E7248B">
            <w:pPr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Lundquist College of Business, University of Oregon, Eugene, OR</w:t>
            </w:r>
          </w:p>
        </w:tc>
      </w:tr>
      <w:tr w:rsidR="00B44E63" w14:paraId="227DDEBB" w14:textId="77777777" w:rsidTr="00E7248B">
        <w:trPr>
          <w:trHeight w:val="387"/>
        </w:trPr>
        <w:tc>
          <w:tcPr>
            <w:tcW w:w="2340" w:type="dxa"/>
          </w:tcPr>
          <w:p w14:paraId="10D844A4" w14:textId="77777777" w:rsidR="00B44E63" w:rsidRPr="0065443C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2007-2008</w:t>
            </w:r>
          </w:p>
        </w:tc>
        <w:tc>
          <w:tcPr>
            <w:tcW w:w="6480" w:type="dxa"/>
          </w:tcPr>
          <w:p w14:paraId="53CE0AB7" w14:textId="77777777" w:rsidR="00B44E63" w:rsidRDefault="00B44E63" w:rsidP="00E7248B">
            <w:pPr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McCombs School of Business, University of Texas at Austin, TX</w:t>
            </w:r>
          </w:p>
        </w:tc>
      </w:tr>
      <w:tr w:rsidR="00B44E63" w14:paraId="0D90BB40" w14:textId="77777777" w:rsidTr="00E7248B">
        <w:trPr>
          <w:trHeight w:val="630"/>
        </w:trPr>
        <w:tc>
          <w:tcPr>
            <w:tcW w:w="2340" w:type="dxa"/>
          </w:tcPr>
          <w:p w14:paraId="51D67404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1996-1998:</w:t>
            </w:r>
          </w:p>
        </w:tc>
        <w:tc>
          <w:tcPr>
            <w:tcW w:w="6480" w:type="dxa"/>
          </w:tcPr>
          <w:p w14:paraId="2B2D8D41" w14:textId="77777777" w:rsidR="00B44E63" w:rsidRDefault="00B44E63" w:rsidP="00E7248B">
            <w:pPr>
              <w:tabs>
                <w:tab w:val="left" w:pos="0"/>
                <w:tab w:val="left" w:pos="1440"/>
              </w:tabs>
              <w:suppressAutoHyphens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Jesse H. Jones Graduate School of Administration, </w:t>
            </w:r>
            <w:r w:rsidRPr="00987C98">
              <w:rPr>
                <w:rFonts w:ascii="Times New Roman" w:hAnsi="Times New Roman"/>
                <w:bCs/>
                <w:sz w:val="24"/>
              </w:rPr>
              <w:t>Rice University</w:t>
            </w:r>
            <w:r>
              <w:rPr>
                <w:rFonts w:ascii="Times New Roman" w:hAnsi="Times New Roman"/>
                <w:sz w:val="24"/>
              </w:rPr>
              <w:t>, Houston, TX</w:t>
            </w:r>
          </w:p>
        </w:tc>
      </w:tr>
      <w:tr w:rsidR="00B44E63" w14:paraId="571B447B" w14:textId="77777777" w:rsidTr="00E7248B">
        <w:trPr>
          <w:trHeight w:val="360"/>
        </w:trPr>
        <w:tc>
          <w:tcPr>
            <w:tcW w:w="2340" w:type="dxa"/>
          </w:tcPr>
          <w:p w14:paraId="046C486A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Spring 1996:</w:t>
            </w:r>
          </w:p>
        </w:tc>
        <w:tc>
          <w:tcPr>
            <w:tcW w:w="6480" w:type="dxa"/>
          </w:tcPr>
          <w:p w14:paraId="4922CCE5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School of Business, </w:t>
            </w:r>
            <w:r w:rsidRPr="00E63D0A">
              <w:rPr>
                <w:rFonts w:ascii="Times New Roman" w:hAnsi="Times New Roman"/>
                <w:sz w:val="24"/>
              </w:rPr>
              <w:t>Indiana University</w:t>
            </w:r>
            <w:r>
              <w:rPr>
                <w:rFonts w:ascii="Times New Roman" w:hAnsi="Times New Roman"/>
                <w:sz w:val="24"/>
              </w:rPr>
              <w:t>, Bloomington, IN</w:t>
            </w:r>
          </w:p>
        </w:tc>
      </w:tr>
      <w:tr w:rsidR="00B44E63" w14:paraId="54A937DD" w14:textId="77777777" w:rsidTr="00E7248B">
        <w:trPr>
          <w:trHeight w:val="630"/>
        </w:trPr>
        <w:tc>
          <w:tcPr>
            <w:tcW w:w="2340" w:type="dxa"/>
          </w:tcPr>
          <w:p w14:paraId="4C1F13FA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1994-1995:</w:t>
            </w:r>
          </w:p>
        </w:tc>
        <w:tc>
          <w:tcPr>
            <w:tcW w:w="6480" w:type="dxa"/>
          </w:tcPr>
          <w:p w14:paraId="5F4E29DF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John M. </w:t>
            </w:r>
            <w:smartTag w:uri="urn:schemas-microsoft-com:office:smarttags" w:element="PlaceName">
              <w:r>
                <w:rPr>
                  <w:rFonts w:ascii="Times New Roman" w:hAnsi="Times New Roman"/>
                  <w:sz w:val="24"/>
                </w:rPr>
                <w:t>Olin</w:t>
              </w:r>
            </w:smartTag>
            <w:r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PlaceType">
              <w:r>
                <w:rPr>
                  <w:rFonts w:ascii="Times New Roman" w:hAnsi="Times New Roman"/>
                  <w:sz w:val="24"/>
                </w:rPr>
                <w:t>School</w:t>
              </w:r>
            </w:smartTag>
            <w:r>
              <w:rPr>
                <w:rFonts w:ascii="Times New Roman" w:hAnsi="Times New Roman"/>
                <w:sz w:val="24"/>
              </w:rPr>
              <w:t xml:space="preserve"> of Business, </w:t>
            </w:r>
            <w:smartTag w:uri="urn:schemas-microsoft-com:office:smarttags" w:element="PlaceName">
              <w:r w:rsidRPr="00E63D0A">
                <w:rPr>
                  <w:rFonts w:ascii="Times New Roman" w:hAnsi="Times New Roman"/>
                  <w:sz w:val="24"/>
                </w:rPr>
                <w:t>Washington</w:t>
              </w:r>
            </w:smartTag>
            <w:r w:rsidRPr="00E63D0A">
              <w:rPr>
                <w:rFonts w:ascii="Times New Roman" w:hAnsi="Times New Roman"/>
                <w:sz w:val="24"/>
              </w:rPr>
              <w:t xml:space="preserve"> </w:t>
            </w:r>
            <w:smartTag w:uri="urn:schemas-microsoft-com:office:smarttags" w:element="PlaceType">
              <w:r w:rsidRPr="00E63D0A">
                <w:rPr>
                  <w:rFonts w:ascii="Times New Roman" w:hAnsi="Times New Roman"/>
                  <w:sz w:val="24"/>
                </w:rPr>
                <w:t>University</w:t>
              </w:r>
            </w:smartTag>
            <w:r>
              <w:rPr>
                <w:rFonts w:ascii="Times New Roman" w:hAnsi="Times New Roman"/>
                <w:sz w:val="24"/>
              </w:rPr>
              <w:t>, St. Louis, MO</w:t>
            </w:r>
          </w:p>
        </w:tc>
      </w:tr>
      <w:tr w:rsidR="00B44E63" w14:paraId="4599F2C6" w14:textId="77777777" w:rsidTr="00E7248B">
        <w:trPr>
          <w:trHeight w:val="342"/>
        </w:trPr>
        <w:tc>
          <w:tcPr>
            <w:tcW w:w="2340" w:type="dxa"/>
          </w:tcPr>
          <w:p w14:paraId="7AD0E9AE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Fall 1993:</w:t>
            </w:r>
          </w:p>
        </w:tc>
        <w:tc>
          <w:tcPr>
            <w:tcW w:w="6480" w:type="dxa"/>
          </w:tcPr>
          <w:p w14:paraId="3BA1B498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 w:rsidRPr="00E63D0A">
              <w:rPr>
                <w:rFonts w:ascii="Times New Roman" w:hAnsi="Times New Roman"/>
                <w:sz w:val="24"/>
              </w:rPr>
              <w:t>Indian Institute of Management</w:t>
            </w:r>
            <w:r>
              <w:rPr>
                <w:rFonts w:ascii="Times New Roman" w:hAnsi="Times New Roman"/>
                <w:sz w:val="24"/>
              </w:rPr>
              <w:t>, Bangalore, India.</w:t>
            </w:r>
          </w:p>
        </w:tc>
      </w:tr>
      <w:tr w:rsidR="00B44E63" w14:paraId="40C39B6B" w14:textId="77777777" w:rsidTr="00E7248B">
        <w:trPr>
          <w:trHeight w:val="378"/>
        </w:trPr>
        <w:tc>
          <w:tcPr>
            <w:tcW w:w="2340" w:type="dxa"/>
          </w:tcPr>
          <w:p w14:paraId="3E0381AD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1987-1993:</w:t>
            </w:r>
          </w:p>
        </w:tc>
        <w:tc>
          <w:tcPr>
            <w:tcW w:w="6480" w:type="dxa"/>
          </w:tcPr>
          <w:p w14:paraId="2792AB55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 w:rsidRPr="00E63D0A">
              <w:rPr>
                <w:rFonts w:ascii="Times New Roman" w:hAnsi="Times New Roman"/>
                <w:sz w:val="24"/>
              </w:rPr>
              <w:t>University of Massachusetts</w:t>
            </w:r>
            <w:r>
              <w:rPr>
                <w:rFonts w:ascii="Times New Roman" w:hAnsi="Times New Roman"/>
                <w:sz w:val="24"/>
              </w:rPr>
              <w:t>, Amherst, MA</w:t>
            </w:r>
          </w:p>
        </w:tc>
      </w:tr>
      <w:tr w:rsidR="00B44E63" w:rsidRPr="00FA4236" w14:paraId="60FD9105" w14:textId="77777777" w:rsidTr="00E7248B">
        <w:trPr>
          <w:trHeight w:val="117"/>
        </w:trPr>
        <w:tc>
          <w:tcPr>
            <w:tcW w:w="2340" w:type="dxa"/>
          </w:tcPr>
          <w:p w14:paraId="2B2E32E9" w14:textId="77777777" w:rsidR="00B44E63" w:rsidRPr="00FA4236" w:rsidRDefault="00B44E63" w:rsidP="00E7248B">
            <w:pPr>
              <w:tabs>
                <w:tab w:val="left" w:pos="0"/>
                <w:tab w:val="left" w:pos="1440"/>
              </w:tabs>
              <w:suppressAutoHyphens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0" w:type="dxa"/>
          </w:tcPr>
          <w:p w14:paraId="2663E2B9" w14:textId="77777777" w:rsidR="00B44E63" w:rsidRPr="00FA4236" w:rsidRDefault="00B44E63" w:rsidP="00E7248B">
            <w:pPr>
              <w:pStyle w:val="BodyText"/>
              <w:tabs>
                <w:tab w:val="clear" w:pos="1980"/>
                <w:tab w:val="clear" w:pos="2160"/>
                <w:tab w:val="left" w:pos="1440"/>
              </w:tabs>
              <w:rPr>
                <w:smallCaps/>
                <w:sz w:val="16"/>
                <w:szCs w:val="16"/>
                <w:u w:val="single"/>
              </w:rPr>
            </w:pPr>
          </w:p>
        </w:tc>
      </w:tr>
      <w:tr w:rsidR="00B44E63" w:rsidRPr="00A438A7" w14:paraId="02D89431" w14:textId="77777777" w:rsidTr="00E7248B">
        <w:trPr>
          <w:trHeight w:val="405"/>
        </w:trPr>
        <w:tc>
          <w:tcPr>
            <w:tcW w:w="8820" w:type="dxa"/>
            <w:gridSpan w:val="2"/>
          </w:tcPr>
          <w:p w14:paraId="7AB16765" w14:textId="77777777" w:rsidR="00B44E63" w:rsidRPr="00A438A7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mallCaps/>
                <w:sz w:val="24"/>
                <w:u w:val="single"/>
              </w:rPr>
            </w:pPr>
            <w:r w:rsidRPr="00A438A7">
              <w:rPr>
                <w:rFonts w:ascii="Times New Roman" w:hAnsi="Times New Roman"/>
                <w:smallCaps/>
                <w:sz w:val="24"/>
                <w:u w:val="single"/>
              </w:rPr>
              <w:t>Consulting Experience</w:t>
            </w:r>
          </w:p>
        </w:tc>
      </w:tr>
      <w:tr w:rsidR="00DC5985" w:rsidRPr="00E63D0A" w14:paraId="4652BB00" w14:textId="77777777" w:rsidTr="00E7248B">
        <w:trPr>
          <w:trHeight w:val="405"/>
        </w:trPr>
        <w:tc>
          <w:tcPr>
            <w:tcW w:w="2340" w:type="dxa"/>
          </w:tcPr>
          <w:p w14:paraId="49B9D113" w14:textId="77777777" w:rsidR="00DC5985" w:rsidRDefault="00DC5985" w:rsidP="00C5341A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2013-Date</w:t>
            </w:r>
          </w:p>
        </w:tc>
        <w:tc>
          <w:tcPr>
            <w:tcW w:w="6480" w:type="dxa"/>
          </w:tcPr>
          <w:p w14:paraId="7896A55C" w14:textId="77777777" w:rsidR="00DC5985" w:rsidRDefault="00DC5985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Independent Consultant</w:t>
            </w:r>
          </w:p>
        </w:tc>
      </w:tr>
      <w:tr w:rsidR="00C5341A" w:rsidRPr="00E63D0A" w14:paraId="39F571E4" w14:textId="77777777" w:rsidTr="00E7248B">
        <w:trPr>
          <w:trHeight w:val="405"/>
        </w:trPr>
        <w:tc>
          <w:tcPr>
            <w:tcW w:w="2340" w:type="dxa"/>
          </w:tcPr>
          <w:p w14:paraId="6EDCBD26" w14:textId="77777777" w:rsidR="00C5341A" w:rsidRDefault="00C5341A" w:rsidP="00C5341A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2011-2013</w:t>
            </w:r>
          </w:p>
        </w:tc>
        <w:tc>
          <w:tcPr>
            <w:tcW w:w="6480" w:type="dxa"/>
          </w:tcPr>
          <w:p w14:paraId="255145F4" w14:textId="77777777" w:rsidR="00C5341A" w:rsidRDefault="00C5341A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Compass </w:t>
            </w:r>
            <w:proofErr w:type="spellStart"/>
            <w:r>
              <w:rPr>
                <w:rFonts w:ascii="Times New Roman" w:hAnsi="Times New Roman"/>
                <w:sz w:val="24"/>
              </w:rPr>
              <w:t>Lexecon</w:t>
            </w:r>
            <w:proofErr w:type="spellEnd"/>
            <w:r>
              <w:rPr>
                <w:rFonts w:ascii="Times New Roman" w:hAnsi="Times New Roman"/>
                <w:sz w:val="24"/>
              </w:rPr>
              <w:t>, Pasadena, CA</w:t>
            </w:r>
          </w:p>
        </w:tc>
      </w:tr>
      <w:tr w:rsidR="00B44E63" w:rsidRPr="00E63D0A" w14:paraId="24A9A30D" w14:textId="77777777" w:rsidTr="00E7248B">
        <w:trPr>
          <w:trHeight w:val="405"/>
        </w:trPr>
        <w:tc>
          <w:tcPr>
            <w:tcW w:w="2340" w:type="dxa"/>
          </w:tcPr>
          <w:p w14:paraId="181EFFE9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2005-2011</w:t>
            </w:r>
          </w:p>
        </w:tc>
        <w:tc>
          <w:tcPr>
            <w:tcW w:w="6480" w:type="dxa"/>
          </w:tcPr>
          <w:p w14:paraId="784C5D71" w14:textId="77777777" w:rsidR="00B44E63" w:rsidRPr="00E63D0A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Independent Consultant</w:t>
            </w:r>
          </w:p>
        </w:tc>
      </w:tr>
      <w:tr w:rsidR="00B44E63" w:rsidRPr="00E63D0A" w14:paraId="69A6F37C" w14:textId="77777777" w:rsidTr="00E7248B">
        <w:trPr>
          <w:trHeight w:val="405"/>
        </w:trPr>
        <w:tc>
          <w:tcPr>
            <w:tcW w:w="2340" w:type="dxa"/>
          </w:tcPr>
          <w:p w14:paraId="1AE0EBE3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2004-2005</w:t>
            </w:r>
          </w:p>
        </w:tc>
        <w:tc>
          <w:tcPr>
            <w:tcW w:w="6480" w:type="dxa"/>
          </w:tcPr>
          <w:p w14:paraId="41C625DA" w14:textId="77777777" w:rsidR="00B44E63" w:rsidRPr="00E63D0A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 w:rsidRPr="00E63D0A">
              <w:rPr>
                <w:rFonts w:ascii="Times New Roman" w:hAnsi="Times New Roman"/>
                <w:sz w:val="24"/>
              </w:rPr>
              <w:t>CRA International, Inc.</w:t>
            </w:r>
            <w:r>
              <w:rPr>
                <w:rFonts w:ascii="Times New Roman" w:hAnsi="Times New Roman"/>
                <w:sz w:val="24"/>
              </w:rPr>
              <w:t>, Boston, MA.</w:t>
            </w:r>
          </w:p>
        </w:tc>
      </w:tr>
      <w:tr w:rsidR="00B44E63" w14:paraId="1BEF6AE2" w14:textId="77777777" w:rsidTr="00E7248B">
        <w:trPr>
          <w:trHeight w:val="405"/>
        </w:trPr>
        <w:tc>
          <w:tcPr>
            <w:tcW w:w="2340" w:type="dxa"/>
          </w:tcPr>
          <w:p w14:paraId="44D7CD57" w14:textId="77777777" w:rsidR="00B44E63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1998-2003</w:t>
            </w:r>
          </w:p>
        </w:tc>
        <w:tc>
          <w:tcPr>
            <w:tcW w:w="6480" w:type="dxa"/>
          </w:tcPr>
          <w:p w14:paraId="25ED4EA9" w14:textId="77777777" w:rsidR="00B44E63" w:rsidRPr="00E63D0A" w:rsidRDefault="00B44E63" w:rsidP="00E7248B">
            <w:pPr>
              <w:tabs>
                <w:tab w:val="left" w:pos="0"/>
                <w:tab w:val="left" w:pos="6210"/>
              </w:tabs>
              <w:suppressAutoHyphens/>
              <w:ind w:right="-198"/>
              <w:rPr>
                <w:rFonts w:ascii="Times New Roman" w:hAnsi="Times New Roman"/>
                <w:sz w:val="24"/>
              </w:rPr>
            </w:pPr>
            <w:r w:rsidRPr="00E63D0A">
              <w:rPr>
                <w:rFonts w:ascii="Times New Roman" w:hAnsi="Times New Roman"/>
                <w:sz w:val="24"/>
              </w:rPr>
              <w:t>LECG, Inc.</w:t>
            </w:r>
            <w:r>
              <w:rPr>
                <w:rFonts w:ascii="Times New Roman" w:hAnsi="Times New Roman"/>
                <w:sz w:val="24"/>
              </w:rPr>
              <w:t xml:space="preserve">, Emeryville, CA. </w:t>
            </w:r>
          </w:p>
        </w:tc>
      </w:tr>
    </w:tbl>
    <w:p w14:paraId="4AE43080" w14:textId="77777777" w:rsidR="00B44E63" w:rsidRPr="00DC5985" w:rsidRDefault="00B44E63" w:rsidP="007E5DA6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6"/>
          <w:szCs w:val="6"/>
        </w:rPr>
      </w:pPr>
    </w:p>
    <w:p w14:paraId="2F257485" w14:textId="77777777" w:rsidR="007E5DA6" w:rsidRPr="00AE7E4C" w:rsidRDefault="007E5DA6" w:rsidP="007E5DA6">
      <w:pPr>
        <w:tabs>
          <w:tab w:val="left" w:pos="0"/>
          <w:tab w:val="left" w:pos="1440"/>
        </w:tabs>
        <w:suppressAutoHyphens/>
        <w:rPr>
          <w:rFonts w:ascii="Times New Roman" w:hAnsi="Times New Roman"/>
          <w:b/>
          <w:sz w:val="24"/>
        </w:rPr>
      </w:pPr>
      <w:r w:rsidRPr="00AE7E4C">
        <w:rPr>
          <w:rFonts w:ascii="Times New Roman" w:hAnsi="Times New Roman"/>
          <w:b/>
          <w:sz w:val="24"/>
        </w:rPr>
        <w:t>RESEARCH INTERESTS</w:t>
      </w:r>
    </w:p>
    <w:p w14:paraId="4AF3D9DF" w14:textId="77777777" w:rsidR="007E5DA6" w:rsidRDefault="00BB617B" w:rsidP="007E5DA6">
      <w:pPr>
        <w:pStyle w:val="Heading1"/>
      </w:pPr>
      <w:r>
        <w:lastRenderedPageBreak/>
        <w:t>Financial Crisis; Theory of Financial Intermediation and Financial Regulation; Risk management; Corporate finance; Applications of Option Pricing Theory;</w:t>
      </w:r>
      <w:r w:rsidRPr="000334EA">
        <w:t xml:space="preserve"> </w:t>
      </w:r>
      <w:r>
        <w:t xml:space="preserve">Business Valuation; Valuation of intangibles; Valuation of Intellectual Property Rights; Credit derivatives; </w:t>
      </w:r>
      <w:r w:rsidR="007E5DA6">
        <w:t xml:space="preserve">Measurement of </w:t>
      </w:r>
      <w:r w:rsidR="00DC5985">
        <w:t>default r</w:t>
      </w:r>
      <w:r w:rsidR="007E5DA6">
        <w:t xml:space="preserve">isk and </w:t>
      </w:r>
      <w:r w:rsidR="00DC5985">
        <w:t>e</w:t>
      </w:r>
      <w:r w:rsidR="007E5DA6">
        <w:t>stimating probability of default from observed market prices; Systemic Risk.</w:t>
      </w:r>
    </w:p>
    <w:p w14:paraId="07FA2BC3" w14:textId="77777777" w:rsidR="007E5DA6" w:rsidRDefault="007E5DA6" w:rsidP="007E5DA6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18"/>
        </w:rPr>
      </w:pPr>
    </w:p>
    <w:p w14:paraId="236D92F6" w14:textId="77777777" w:rsidR="007E5DA6" w:rsidRPr="00AE7E4C" w:rsidRDefault="007E5DA6" w:rsidP="007E5DA6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24"/>
        </w:rPr>
      </w:pPr>
      <w:r w:rsidRPr="00AE7E4C">
        <w:rPr>
          <w:rFonts w:ascii="Times New Roman" w:hAnsi="Times New Roman"/>
          <w:b/>
          <w:sz w:val="24"/>
        </w:rPr>
        <w:t>PUBLISHED RESEARCH</w:t>
      </w:r>
    </w:p>
    <w:p w14:paraId="3DABA6E8" w14:textId="77777777" w:rsidR="007E5DA6" w:rsidRDefault="007E5DA6" w:rsidP="007E5DA6">
      <w:pPr>
        <w:tabs>
          <w:tab w:val="left" w:pos="0"/>
        </w:tabs>
        <w:suppressAutoHyphens/>
        <w:spacing w:after="24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“Correlated Default Risks and Bank Regulations” (with Andrew Chen, </w:t>
      </w:r>
      <w:proofErr w:type="spellStart"/>
      <w:r>
        <w:rPr>
          <w:rFonts w:ascii="Times New Roman" w:hAnsi="Times New Roman"/>
          <w:sz w:val="24"/>
        </w:rPr>
        <w:t>Nengju</w:t>
      </w:r>
      <w:proofErr w:type="spellEnd"/>
      <w:r>
        <w:rPr>
          <w:rFonts w:ascii="Times New Roman" w:hAnsi="Times New Roman"/>
          <w:sz w:val="24"/>
        </w:rPr>
        <w:t xml:space="preserve"> Jiu, and </w:t>
      </w:r>
      <w:proofErr w:type="spellStart"/>
      <w:r>
        <w:rPr>
          <w:rFonts w:ascii="Times New Roman" w:hAnsi="Times New Roman"/>
          <w:sz w:val="24"/>
        </w:rPr>
        <w:t>Sumon</w:t>
      </w:r>
      <w:proofErr w:type="spellEnd"/>
      <w:r>
        <w:rPr>
          <w:rFonts w:ascii="Times New Roman" w:hAnsi="Times New Roman"/>
          <w:sz w:val="24"/>
        </w:rPr>
        <w:t xml:space="preserve"> Mazumdar) </w:t>
      </w:r>
      <w:r>
        <w:rPr>
          <w:rFonts w:ascii="Times New Roman" w:hAnsi="Times New Roman"/>
          <w:i/>
          <w:iCs/>
          <w:sz w:val="24"/>
        </w:rPr>
        <w:t>Journal of Money Credit and Banking</w:t>
      </w:r>
      <w:r w:rsidRPr="000334EA">
        <w:rPr>
          <w:rFonts w:ascii="Times New Roman" w:hAnsi="Times New Roman"/>
          <w:iCs/>
          <w:sz w:val="24"/>
        </w:rPr>
        <w:t>,</w:t>
      </w:r>
      <w:r w:rsidRPr="000334E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Volume 38, No. 2 (March 2006)</w:t>
      </w:r>
    </w:p>
    <w:p w14:paraId="7D2EED51" w14:textId="77777777" w:rsidR="007E5DA6" w:rsidRDefault="007E5DA6" w:rsidP="007E5DA6">
      <w:pPr>
        <w:tabs>
          <w:tab w:val="left" w:pos="0"/>
        </w:tabs>
        <w:suppressAutoHyphens/>
        <w:spacing w:after="24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“If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 Adopted the Single Factor (Sales) Apportionment Formula. What Would be the Impact?” </w:t>
      </w:r>
      <w:r>
        <w:rPr>
          <w:rFonts w:ascii="Times New Roman" w:hAnsi="Times New Roman"/>
          <w:i/>
          <w:iCs/>
          <w:sz w:val="24"/>
        </w:rPr>
        <w:t>State Tax Notes</w:t>
      </w:r>
      <w:r>
        <w:rPr>
          <w:rFonts w:ascii="Times New Roman" w:hAnsi="Times New Roman"/>
          <w:sz w:val="24"/>
        </w:rPr>
        <w:t>, Vol. 24, No. 11 (</w:t>
      </w:r>
      <w:smartTag w:uri="urn:schemas-microsoft-com:office:smarttags" w:element="date">
        <w:smartTagPr>
          <w:attr w:name="Month" w:val="6"/>
          <w:attr w:name="Day" w:val="10"/>
          <w:attr w:name="Year" w:val="2002"/>
        </w:smartTagPr>
        <w:r>
          <w:rPr>
            <w:rFonts w:ascii="Times New Roman" w:hAnsi="Times New Roman"/>
            <w:sz w:val="24"/>
          </w:rPr>
          <w:t xml:space="preserve">June </w:t>
        </w:r>
        <w:proofErr w:type="gramStart"/>
        <w:r>
          <w:rPr>
            <w:rFonts w:ascii="Times New Roman" w:hAnsi="Times New Roman"/>
            <w:sz w:val="24"/>
          </w:rPr>
          <w:t>10</w:t>
        </w:r>
        <w:proofErr w:type="gramEnd"/>
        <w:r>
          <w:rPr>
            <w:rFonts w:ascii="Times New Roman" w:hAnsi="Times New Roman"/>
            <w:sz w:val="24"/>
          </w:rPr>
          <w:t xml:space="preserve"> 2002</w:t>
        </w:r>
      </w:smartTag>
      <w:r>
        <w:rPr>
          <w:rFonts w:ascii="Times New Roman" w:hAnsi="Times New Roman"/>
          <w:sz w:val="24"/>
        </w:rPr>
        <w:t xml:space="preserve">), 1017-1051 (with William Hamm) </w:t>
      </w:r>
    </w:p>
    <w:p w14:paraId="0C5330DE" w14:textId="77777777" w:rsidR="007E5DA6" w:rsidRDefault="007E5DA6" w:rsidP="007E5DA6">
      <w:pPr>
        <w:tabs>
          <w:tab w:val="left" w:pos="0"/>
        </w:tabs>
        <w:suppressAutoHyphens/>
        <w:spacing w:after="24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“Risk-Based Capital Adequacy Standards for a Sample of 43 Major Banks,” </w:t>
      </w:r>
      <w:r>
        <w:rPr>
          <w:rFonts w:ascii="Times New Roman" w:hAnsi="Times New Roman"/>
          <w:i/>
          <w:iCs/>
          <w:sz w:val="24"/>
        </w:rPr>
        <w:t xml:space="preserve">Journal </w:t>
      </w:r>
      <w:proofErr w:type="gramStart"/>
      <w:r>
        <w:rPr>
          <w:rFonts w:ascii="Times New Roman" w:hAnsi="Times New Roman"/>
          <w:i/>
          <w:iCs/>
          <w:sz w:val="24"/>
        </w:rPr>
        <w:t>of  Banking</w:t>
      </w:r>
      <w:proofErr w:type="gramEnd"/>
      <w:r>
        <w:rPr>
          <w:rFonts w:ascii="Times New Roman" w:hAnsi="Times New Roman"/>
          <w:i/>
          <w:iCs/>
          <w:sz w:val="24"/>
        </w:rPr>
        <w:t xml:space="preserve"> and Finance</w:t>
      </w:r>
      <w:r>
        <w:rPr>
          <w:rFonts w:ascii="Times New Roman" w:hAnsi="Times New Roman"/>
          <w:sz w:val="24"/>
        </w:rPr>
        <w:t xml:space="preserve">, 13 (1989), 21-29 (with E.I. </w:t>
      </w:r>
      <w:proofErr w:type="spellStart"/>
      <w:r>
        <w:rPr>
          <w:rFonts w:ascii="Times New Roman" w:hAnsi="Times New Roman"/>
          <w:sz w:val="24"/>
        </w:rPr>
        <w:t>Ronn</w:t>
      </w:r>
      <w:proofErr w:type="spellEnd"/>
      <w:r>
        <w:rPr>
          <w:rFonts w:ascii="Times New Roman" w:hAnsi="Times New Roman"/>
          <w:sz w:val="24"/>
        </w:rPr>
        <w:t>).</w:t>
      </w:r>
      <w:r>
        <w:rPr>
          <w:rFonts w:ascii="Times New Roman" w:hAnsi="Times New Roman"/>
          <w:sz w:val="2"/>
        </w:rPr>
        <w:br/>
      </w:r>
      <w:r>
        <w:rPr>
          <w:rFonts w:ascii="Times New Roman" w:hAnsi="Times New Roman"/>
          <w:sz w:val="24"/>
        </w:rPr>
        <w:t xml:space="preserve">(Also appeared in Proceedings of the Conference on Bank Structure and Competition, Federal Reserve Bank of Chicago 1988.) </w:t>
      </w:r>
    </w:p>
    <w:p w14:paraId="6E86729D" w14:textId="77777777" w:rsidR="007E5DA6" w:rsidRDefault="007E5DA6" w:rsidP="007E5DA6">
      <w:pPr>
        <w:tabs>
          <w:tab w:val="left" w:pos="0"/>
        </w:tabs>
        <w:suppressAutoHyphens/>
        <w:spacing w:after="24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 Multi-Attribute Comparative Evaluation of Relative Risks for a Sample of Banks,” </w:t>
      </w:r>
      <w:r>
        <w:rPr>
          <w:rFonts w:ascii="Times New Roman" w:hAnsi="Times New Roman"/>
          <w:i/>
          <w:sz w:val="24"/>
        </w:rPr>
        <w:t>Journal of Banking and Finance</w:t>
      </w:r>
      <w:r>
        <w:rPr>
          <w:rFonts w:ascii="Times New Roman" w:hAnsi="Times New Roman"/>
          <w:sz w:val="24"/>
        </w:rPr>
        <w:t xml:space="preserve">, 11 (1987), 499-523 (with E.I. </w:t>
      </w:r>
      <w:proofErr w:type="spellStart"/>
      <w:r>
        <w:rPr>
          <w:rFonts w:ascii="Times New Roman" w:hAnsi="Times New Roman"/>
          <w:sz w:val="24"/>
        </w:rPr>
        <w:t>Ronn</w:t>
      </w:r>
      <w:proofErr w:type="spellEnd"/>
      <w:r>
        <w:rPr>
          <w:rFonts w:ascii="Times New Roman" w:hAnsi="Times New Roman"/>
          <w:sz w:val="24"/>
        </w:rPr>
        <w:t>).</w:t>
      </w:r>
    </w:p>
    <w:p w14:paraId="36E7D331" w14:textId="77777777" w:rsidR="007E5DA6" w:rsidRDefault="007E5DA6" w:rsidP="007E5DA6">
      <w:pPr>
        <w:tabs>
          <w:tab w:val="left" w:pos="0"/>
        </w:tabs>
        <w:suppressAutoHyphens/>
        <w:spacing w:after="240"/>
        <w:ind w:left="13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“Pricing Risk-Adjusted Deposit Insurance: An Option-Based Model,” </w:t>
      </w:r>
      <w:r>
        <w:rPr>
          <w:rFonts w:ascii="Times New Roman" w:hAnsi="Times New Roman"/>
          <w:i/>
          <w:sz w:val="24"/>
        </w:rPr>
        <w:t>Journal of Finance</w:t>
      </w:r>
      <w:r>
        <w:rPr>
          <w:rFonts w:ascii="Times New Roman" w:hAnsi="Times New Roman"/>
          <w:sz w:val="24"/>
        </w:rPr>
        <w:t xml:space="preserve">, vol. XLI, no. 4, September 1986, 871-895 (with E.I. </w:t>
      </w:r>
      <w:proofErr w:type="spellStart"/>
      <w:r>
        <w:rPr>
          <w:rFonts w:ascii="Times New Roman" w:hAnsi="Times New Roman"/>
          <w:sz w:val="24"/>
        </w:rPr>
        <w:t>Ronn</w:t>
      </w:r>
      <w:proofErr w:type="spellEnd"/>
      <w:r>
        <w:rPr>
          <w:rFonts w:ascii="Times New Roman" w:hAnsi="Times New Roman"/>
          <w:sz w:val="24"/>
        </w:rPr>
        <w:t xml:space="preserve">). Also included in “The Regulation and Supervision of Banks” edited by Maximilian J.B. Hall, Edward Elgar,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Cheltenham</w:t>
        </w:r>
      </w:smartTag>
      <w:r>
        <w:rPr>
          <w:rFonts w:ascii="Times New Roman" w:hAnsi="Times New Roman"/>
          <w:sz w:val="24"/>
        </w:rPr>
        <w:t xml:space="preserve">, U.K. </w:t>
      </w:r>
      <w:r w:rsidRPr="007E5DA6">
        <w:rPr>
          <w:rFonts w:ascii="Times New Roman" w:hAnsi="Times New Roman"/>
          <w:sz w:val="24"/>
        </w:rPr>
        <w:t>This paper is cited in Nobel Laureate Robert Merton’s “Continuous Time Finance” Wiley, 1992</w:t>
      </w:r>
    </w:p>
    <w:p w14:paraId="769DD6D7" w14:textId="77777777" w:rsidR="00B44E63" w:rsidRPr="00B44E63" w:rsidRDefault="00B44E63" w:rsidP="00B44E63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18"/>
        </w:rPr>
      </w:pPr>
    </w:p>
    <w:p w14:paraId="2047E05B" w14:textId="77777777" w:rsidR="007E5DA6" w:rsidRPr="00AE7E4C" w:rsidRDefault="007E5DA6" w:rsidP="007E5DA6">
      <w:pPr>
        <w:tabs>
          <w:tab w:val="left" w:pos="0"/>
          <w:tab w:val="left" w:pos="540"/>
          <w:tab w:val="left" w:pos="720"/>
        </w:tabs>
        <w:suppressAutoHyphens/>
        <w:spacing w:after="240"/>
        <w:ind w:left="1440" w:hanging="1440"/>
        <w:rPr>
          <w:rFonts w:ascii="Times New Roman" w:hAnsi="Times New Roman"/>
          <w:b/>
          <w:sz w:val="24"/>
        </w:rPr>
      </w:pPr>
      <w:r w:rsidRPr="00AE7E4C">
        <w:rPr>
          <w:rFonts w:ascii="Times New Roman" w:hAnsi="Times New Roman"/>
          <w:b/>
          <w:sz w:val="24"/>
        </w:rPr>
        <w:t>PAPERS PRESENTED AT PROFESSIONAL MEETINGS</w:t>
      </w:r>
    </w:p>
    <w:p w14:paraId="0076CC6B" w14:textId="77777777" w:rsidR="007E5DA6" w:rsidRDefault="007E5DA6" w:rsidP="007E5DA6">
      <w:pPr>
        <w:pStyle w:val="BodyTextIndent3"/>
      </w:pPr>
      <w:r>
        <w:t xml:space="preserve">“Default Risks </w:t>
      </w:r>
      <w:proofErr w:type="gramStart"/>
      <w:r>
        <w:t>Of</w:t>
      </w:r>
      <w:proofErr w:type="gramEnd"/>
      <w:r>
        <w:t xml:space="preserve"> Marginal Loans, Bank Moral Hazard And Deposit Insurance” presented at the 2003 Financial Management Association Annual Meeting (with Andrew Chen, </w:t>
      </w:r>
      <w:proofErr w:type="spellStart"/>
      <w:r>
        <w:t>Nengju</w:t>
      </w:r>
      <w:proofErr w:type="spellEnd"/>
      <w:r>
        <w:t xml:space="preserve">, Jiu, and </w:t>
      </w:r>
      <w:proofErr w:type="spellStart"/>
      <w:r>
        <w:t>Sumon</w:t>
      </w:r>
      <w:proofErr w:type="spellEnd"/>
      <w:r>
        <w:t xml:space="preserve"> Mazumdar). </w:t>
      </w:r>
    </w:p>
    <w:p w14:paraId="688CD1AD" w14:textId="77777777" w:rsidR="007E5DA6" w:rsidRDefault="007E5DA6" w:rsidP="007E5DA6">
      <w:pPr>
        <w:tabs>
          <w:tab w:val="left" w:pos="0"/>
          <w:tab w:val="left" w:pos="540"/>
          <w:tab w:val="left" w:pos="720"/>
        </w:tabs>
        <w:suppressAutoHyphens/>
        <w:spacing w:after="24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“Globalization and Restructuring of Financial Institutions,” </w:t>
      </w:r>
      <w:smartTag w:uri="urn:schemas-microsoft-com:office:smarttags" w:element="City">
        <w:r>
          <w:rPr>
            <w:rFonts w:ascii="Times New Roman" w:hAnsi="Times New Roman"/>
            <w:sz w:val="24"/>
          </w:rPr>
          <w:t>Bangalore</w:t>
        </w:r>
      </w:smartTag>
      <w:r>
        <w:rPr>
          <w:rFonts w:ascii="Times New Roman" w:hAnsi="Times New Roman"/>
          <w:sz w:val="24"/>
        </w:rPr>
        <w:t xml:space="preserve"> Management Association,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Bangalore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India</w:t>
          </w:r>
        </w:smartTag>
      </w:smartTag>
      <w:r>
        <w:rPr>
          <w:rFonts w:ascii="Times New Roman" w:hAnsi="Times New Roman"/>
          <w:sz w:val="24"/>
        </w:rPr>
        <w:t xml:space="preserve"> 1993. </w:t>
      </w:r>
    </w:p>
    <w:p w14:paraId="7D54CB83" w14:textId="77777777" w:rsidR="007E5DA6" w:rsidRDefault="007E5DA6" w:rsidP="007E5DA6">
      <w:pPr>
        <w:tabs>
          <w:tab w:val="left" w:pos="0"/>
          <w:tab w:val="left" w:pos="540"/>
          <w:tab w:val="left" w:pos="720"/>
        </w:tabs>
        <w:suppressAutoHyphens/>
        <w:spacing w:after="24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“Pricing Demand Deposits and Transactions Services,”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Connecticut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Storrs</w:t>
          </w:r>
        </w:smartTag>
      </w:smartTag>
      <w:r>
        <w:rPr>
          <w:rFonts w:ascii="Times New Roman" w:hAnsi="Times New Roman"/>
          <w:sz w:val="24"/>
        </w:rPr>
        <w:t xml:space="preserve">, 1990. </w:t>
      </w:r>
    </w:p>
    <w:p w14:paraId="39105AF3" w14:textId="77777777" w:rsidR="007E5DA6" w:rsidRDefault="007E5DA6" w:rsidP="007E5DA6">
      <w:pPr>
        <w:tabs>
          <w:tab w:val="left" w:pos="0"/>
          <w:tab w:val="left" w:pos="540"/>
          <w:tab w:val="left" w:pos="720"/>
        </w:tabs>
        <w:suppressAutoHyphens/>
        <w:spacing w:after="24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“Risk Based Capital Adequacy Standards for a Sample of 43 Major Banks,” Conference on Bank Structure and Competition, Federal Reserve Bank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Chicago</w:t>
          </w:r>
        </w:smartTag>
      </w:smartTag>
      <w:r>
        <w:rPr>
          <w:rFonts w:ascii="Times New Roman" w:hAnsi="Times New Roman"/>
          <w:sz w:val="24"/>
        </w:rPr>
        <w:t xml:space="preserve">, 1988. </w:t>
      </w:r>
    </w:p>
    <w:p w14:paraId="437DE795" w14:textId="77777777" w:rsidR="007E5DA6" w:rsidRDefault="007E5DA6" w:rsidP="007E5DA6">
      <w:pPr>
        <w:tabs>
          <w:tab w:val="left" w:pos="0"/>
          <w:tab w:val="left" w:pos="540"/>
          <w:tab w:val="left" w:pos="720"/>
        </w:tabs>
        <w:suppressAutoHyphens/>
        <w:spacing w:after="24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“A Multi-Attribute Comparative Evaluation of Relative Risks for a Sample of Banks,” Seminar on Banking and Securitization, Northwestern University, 1987. </w:t>
      </w:r>
    </w:p>
    <w:p w14:paraId="502A07A9" w14:textId="77777777" w:rsidR="007E5DA6" w:rsidRDefault="007E5DA6" w:rsidP="007E5DA6">
      <w:pPr>
        <w:tabs>
          <w:tab w:val="left" w:pos="0"/>
          <w:tab w:val="left" w:pos="540"/>
          <w:tab w:val="left" w:pos="720"/>
        </w:tabs>
        <w:suppressAutoHyphens/>
        <w:spacing w:after="24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“Pricing Risk-Adjusted Deposit Insurance: An Option-Based Model,” Western Finance Association Meetings, 1985.</w:t>
      </w:r>
    </w:p>
    <w:p w14:paraId="7774B1A3" w14:textId="77777777" w:rsidR="007E5DA6" w:rsidRPr="00AE7E4C" w:rsidRDefault="007E5DA6" w:rsidP="007E5DA6">
      <w:pPr>
        <w:tabs>
          <w:tab w:val="left" w:pos="0"/>
          <w:tab w:val="left" w:pos="9202"/>
        </w:tabs>
        <w:suppressAutoHyphens/>
        <w:rPr>
          <w:rFonts w:ascii="Times New Roman" w:hAnsi="Times New Roman"/>
          <w:b/>
          <w:sz w:val="24"/>
        </w:rPr>
      </w:pPr>
      <w:r w:rsidRPr="00AE7E4C">
        <w:rPr>
          <w:rFonts w:ascii="Times New Roman" w:hAnsi="Times New Roman"/>
          <w:b/>
          <w:sz w:val="24"/>
        </w:rPr>
        <w:t>COURSES TAUGHT</w:t>
      </w:r>
    </w:p>
    <w:p w14:paraId="52CFB2D9" w14:textId="77777777" w:rsidR="007E5DA6" w:rsidRDefault="007E5DA6" w:rsidP="007E5DA6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3060" w:hanging="2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DOCTORAL COURSES</w:t>
      </w:r>
      <w:r>
        <w:rPr>
          <w:rFonts w:ascii="Times New Roman" w:hAnsi="Times New Roman"/>
          <w:sz w:val="24"/>
        </w:rPr>
        <w:t>:</w:t>
      </w:r>
    </w:p>
    <w:p w14:paraId="050D19C2" w14:textId="77777777" w:rsidR="007E5DA6" w:rsidRDefault="007E5DA6" w:rsidP="007E5DA6">
      <w:pPr>
        <w:pStyle w:val="Heading3"/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mallCaps w:val="0"/>
        </w:rPr>
      </w:pPr>
      <w:r>
        <w:rPr>
          <w:smallCaps w:val="0"/>
        </w:rPr>
        <w:t>A Two-Semester Capital Markets Seminar at the University of Massachusetts, Amherst, MA</w:t>
      </w:r>
    </w:p>
    <w:p w14:paraId="62A1E2AB" w14:textId="77777777" w:rsidR="007E5DA6" w:rsidRDefault="007E5DA6" w:rsidP="007E5DA6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2340" w:hanging="2340"/>
        <w:rPr>
          <w:rFonts w:ascii="Times New Roman" w:hAnsi="Times New Roman"/>
          <w:sz w:val="9"/>
        </w:rPr>
      </w:pPr>
    </w:p>
    <w:p w14:paraId="7781A6FD" w14:textId="77777777" w:rsidR="007E5DA6" w:rsidRDefault="007E5DA6" w:rsidP="007E5DA6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3060" w:hanging="2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MBA COURSES</w:t>
      </w:r>
      <w:r>
        <w:rPr>
          <w:rFonts w:ascii="Times New Roman" w:hAnsi="Times New Roman"/>
          <w:sz w:val="24"/>
        </w:rPr>
        <w:t>:</w:t>
      </w:r>
    </w:p>
    <w:p w14:paraId="43F03531" w14:textId="77777777" w:rsidR="007E5DA6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Introduction to Corporate Finance</w:t>
      </w:r>
    </w:p>
    <w:p w14:paraId="7135673F" w14:textId="77777777" w:rsidR="007E5DA6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Advanced Corporate Finance (case-based)</w:t>
      </w:r>
    </w:p>
    <w:p w14:paraId="28C6E2E9" w14:textId="77777777" w:rsidR="007E5DA6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Futures and Options</w:t>
      </w:r>
    </w:p>
    <w:p w14:paraId="70FBC468" w14:textId="77777777" w:rsidR="007E5DA6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Investments</w:t>
      </w:r>
    </w:p>
    <w:p w14:paraId="05AAB9BA" w14:textId="77777777" w:rsidR="007E5DA6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International Finance</w:t>
      </w:r>
    </w:p>
    <w:p w14:paraId="01A3D670" w14:textId="77777777" w:rsidR="007E5DA6" w:rsidRDefault="007E5DA6" w:rsidP="007E5DA6">
      <w:pPr>
        <w:pStyle w:val="Heading4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Global Capital Markets</w:t>
      </w:r>
    </w:p>
    <w:p w14:paraId="05662D34" w14:textId="77777777" w:rsidR="007E5DA6" w:rsidRPr="006F7D0D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 w:rsidRPr="006F7D0D">
        <w:rPr>
          <w:rFonts w:ascii="Times New Roman" w:hAnsi="Times New Roman"/>
          <w:sz w:val="24"/>
        </w:rPr>
        <w:t xml:space="preserve">Fixed Income Securities </w:t>
      </w:r>
      <w:r>
        <w:rPr>
          <w:rFonts w:ascii="Times New Roman" w:hAnsi="Times New Roman"/>
          <w:sz w:val="24"/>
        </w:rPr>
        <w:t>(included Structured Finance)</w:t>
      </w:r>
    </w:p>
    <w:p w14:paraId="3BE0E54E" w14:textId="77777777" w:rsidR="007E5DA6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Corporate Risk Management</w:t>
      </w:r>
    </w:p>
    <w:p w14:paraId="3DC9B643" w14:textId="77777777" w:rsidR="007E5DA6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Commercial Bank Management</w:t>
      </w:r>
    </w:p>
    <w:p w14:paraId="7E620985" w14:textId="77777777" w:rsidR="007E5DA6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 w:rsidRPr="00B72ADD">
        <w:rPr>
          <w:rFonts w:ascii="Times New Roman" w:hAnsi="Times New Roman"/>
          <w:sz w:val="24"/>
        </w:rPr>
        <w:t xml:space="preserve">Financial Institutions </w:t>
      </w:r>
    </w:p>
    <w:p w14:paraId="121423B6" w14:textId="77777777" w:rsidR="007E5DA6" w:rsidRDefault="007E5DA6" w:rsidP="007E5DA6">
      <w:pPr>
        <w:numPr>
          <w:ilvl w:val="0"/>
          <w:numId w:val="4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Managerial Economics</w:t>
      </w:r>
    </w:p>
    <w:p w14:paraId="29AAC247" w14:textId="77777777" w:rsidR="007E5DA6" w:rsidRDefault="007E5DA6" w:rsidP="007E5DA6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2340" w:hanging="2340"/>
        <w:rPr>
          <w:rFonts w:ascii="Times New Roman" w:hAnsi="Times New Roman"/>
          <w:sz w:val="9"/>
        </w:rPr>
      </w:pPr>
    </w:p>
    <w:p w14:paraId="16EBEA5F" w14:textId="77777777" w:rsidR="007E5DA6" w:rsidRDefault="007E5DA6" w:rsidP="007E5DA6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3060" w:hanging="23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UNDERGRADUATE COURSES</w:t>
      </w:r>
      <w:r>
        <w:rPr>
          <w:rFonts w:ascii="Times New Roman" w:hAnsi="Times New Roman"/>
          <w:sz w:val="24"/>
        </w:rPr>
        <w:t>:</w:t>
      </w:r>
    </w:p>
    <w:p w14:paraId="738B0A69" w14:textId="77777777" w:rsidR="007E5DA6" w:rsidRDefault="007E5DA6" w:rsidP="007E5DA6">
      <w:pPr>
        <w:numPr>
          <w:ilvl w:val="0"/>
          <w:numId w:val="6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Introduction to Corporate Finance</w:t>
      </w:r>
    </w:p>
    <w:p w14:paraId="381B5E6C" w14:textId="77777777" w:rsidR="007E5DA6" w:rsidRDefault="007E5DA6" w:rsidP="007E5DA6">
      <w:pPr>
        <w:numPr>
          <w:ilvl w:val="0"/>
          <w:numId w:val="6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Futures Options</w:t>
      </w:r>
      <w:r w:rsidRPr="006E5A5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and Derivatives</w:t>
      </w:r>
    </w:p>
    <w:p w14:paraId="0D022DE1" w14:textId="77777777" w:rsidR="007E5DA6" w:rsidRDefault="007E5DA6" w:rsidP="007E5DA6">
      <w:pPr>
        <w:numPr>
          <w:ilvl w:val="0"/>
          <w:numId w:val="6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Investments</w:t>
      </w:r>
    </w:p>
    <w:p w14:paraId="27A6BFA5" w14:textId="77777777" w:rsidR="007E5DA6" w:rsidRDefault="007E5DA6" w:rsidP="007E5DA6">
      <w:pPr>
        <w:numPr>
          <w:ilvl w:val="0"/>
          <w:numId w:val="6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International Finance </w:t>
      </w:r>
    </w:p>
    <w:p w14:paraId="4312EB8B" w14:textId="77777777" w:rsidR="007E5DA6" w:rsidRDefault="007E5DA6" w:rsidP="007E5DA6">
      <w:pPr>
        <w:numPr>
          <w:ilvl w:val="0"/>
          <w:numId w:val="6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Fixed Income Securities </w:t>
      </w:r>
    </w:p>
    <w:p w14:paraId="47E2FBBA" w14:textId="77777777" w:rsidR="007E5DA6" w:rsidRDefault="007E5DA6" w:rsidP="007E5DA6">
      <w:pPr>
        <w:numPr>
          <w:ilvl w:val="0"/>
          <w:numId w:val="6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Corporate Finance and Financial Analysis</w:t>
      </w:r>
    </w:p>
    <w:p w14:paraId="69DFEC4E" w14:textId="77777777" w:rsidR="007E5DA6" w:rsidRDefault="007E5DA6" w:rsidP="007E5DA6">
      <w:pPr>
        <w:numPr>
          <w:ilvl w:val="0"/>
          <w:numId w:val="7"/>
        </w:numPr>
        <w:tabs>
          <w:tab w:val="clear" w:pos="360"/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Advanced Corporate Finance (case-based)</w:t>
      </w:r>
    </w:p>
    <w:p w14:paraId="4E794F17" w14:textId="77777777" w:rsidR="007E5DA6" w:rsidRDefault="007E5DA6" w:rsidP="007E5DA6">
      <w:pPr>
        <w:pStyle w:val="Heading5"/>
        <w:numPr>
          <w:ilvl w:val="0"/>
          <w:numId w:val="7"/>
        </w:numPr>
        <w:tabs>
          <w:tab w:val="clear" w:pos="360"/>
          <w:tab w:val="num" w:pos="1080"/>
        </w:tabs>
        <w:ind w:left="1080"/>
      </w:pPr>
      <w:r>
        <w:t>Money, Banking and Financial Institutions</w:t>
      </w:r>
    </w:p>
    <w:p w14:paraId="1EDC0EA2" w14:textId="77777777" w:rsidR="007E5DA6" w:rsidRDefault="007E5DA6" w:rsidP="007E5DA6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2340" w:hanging="2340"/>
        <w:rPr>
          <w:rFonts w:ascii="Times New Roman" w:hAnsi="Times New Roman"/>
          <w:sz w:val="9"/>
        </w:rPr>
      </w:pPr>
    </w:p>
    <w:p w14:paraId="7B2A1831" w14:textId="77777777" w:rsidR="007E5DA6" w:rsidRDefault="007E5DA6" w:rsidP="007E5DA6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3060" w:hanging="23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IN-HOUSE SEMINAR FOR SENIOR EXECUTIVES:</w:t>
      </w:r>
    </w:p>
    <w:p w14:paraId="18EF0A9C" w14:textId="77777777" w:rsidR="007E5DA6" w:rsidRDefault="007E5DA6" w:rsidP="007E5DA6">
      <w:pPr>
        <w:pStyle w:val="BodyTextIndent2"/>
        <w:numPr>
          <w:ilvl w:val="0"/>
          <w:numId w:val="5"/>
        </w:numPr>
        <w:tabs>
          <w:tab w:val="clear" w:pos="360"/>
          <w:tab w:val="clear" w:pos="720"/>
          <w:tab w:val="num" w:pos="1080"/>
          <w:tab w:val="left" w:pos="2340"/>
          <w:tab w:val="left" w:pos="2880"/>
        </w:tabs>
        <w:ind w:left="1080"/>
      </w:pPr>
      <w:r>
        <w:t xml:space="preserve">Modern Contingent Claims Pricing Theory (to Senior Executives of WIPRO, </w:t>
      </w:r>
      <w:smartTag w:uri="urn:schemas-microsoft-com:office:smarttags" w:element="place">
        <w:smartTag w:uri="urn:schemas-microsoft-com:office:smarttags" w:element="City">
          <w:r>
            <w:t>Bangalore</w:t>
          </w:r>
        </w:smartTag>
        <w:r>
          <w:t xml:space="preserve">, </w:t>
        </w:r>
        <w:smartTag w:uri="urn:schemas-microsoft-com:office:smarttags" w:element="country-region">
          <w:r>
            <w:t>India</w:t>
          </w:r>
        </w:smartTag>
      </w:smartTag>
      <w:r>
        <w:t xml:space="preserve">. WIPRO is one of the largest software firms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>, trading at NYSE under Ticker Symbol WIT)</w:t>
      </w:r>
    </w:p>
    <w:p w14:paraId="2576D16C" w14:textId="77777777" w:rsidR="007E5DA6" w:rsidRDefault="007E5DA6" w:rsidP="007E5DA6">
      <w:pPr>
        <w:pStyle w:val="BodyTextIndent2"/>
        <w:numPr>
          <w:ilvl w:val="0"/>
          <w:numId w:val="5"/>
        </w:numPr>
        <w:tabs>
          <w:tab w:val="clear" w:pos="360"/>
          <w:tab w:val="clear" w:pos="720"/>
          <w:tab w:val="num" w:pos="1080"/>
          <w:tab w:val="left" w:pos="2340"/>
          <w:tab w:val="left" w:pos="2880"/>
        </w:tabs>
        <w:ind w:left="1080"/>
      </w:pPr>
      <w:r>
        <w:t xml:space="preserve">“Lattice-Based Valuation Models for Employee Stock Options Under FAS 123(R)” (to Certified Public Accountants at JH Cohn, NYC) </w:t>
      </w:r>
    </w:p>
    <w:p w14:paraId="5A4CF267" w14:textId="77777777" w:rsidR="007E5DA6" w:rsidRDefault="007E5DA6" w:rsidP="007E5DA6">
      <w:pPr>
        <w:pStyle w:val="BodyTextIndent2"/>
        <w:tabs>
          <w:tab w:val="clear" w:pos="720"/>
          <w:tab w:val="left" w:pos="2340"/>
          <w:tab w:val="left" w:pos="2880"/>
        </w:tabs>
      </w:pPr>
    </w:p>
    <w:p w14:paraId="54FC2EE9" w14:textId="77777777" w:rsidR="00080FCB" w:rsidRDefault="0063079E" w:rsidP="00080FCB">
      <w:pPr>
        <w:pStyle w:val="Heading2"/>
        <w:rPr>
          <w:u w:val="none"/>
        </w:rPr>
      </w:pPr>
      <w:r>
        <w:rPr>
          <w:u w:val="none"/>
        </w:rPr>
        <w:t xml:space="preserve">EXPERT WITNESS </w:t>
      </w:r>
      <w:r w:rsidR="00AC5A4D">
        <w:rPr>
          <w:u w:val="none"/>
        </w:rPr>
        <w:t>T</w:t>
      </w:r>
      <w:r w:rsidR="00080FCB">
        <w:rPr>
          <w:u w:val="none"/>
        </w:rPr>
        <w:t>ESTIMONY ON RECORD</w:t>
      </w:r>
    </w:p>
    <w:p w14:paraId="69A08426" w14:textId="77777777" w:rsidR="00080FCB" w:rsidRDefault="00080FCB" w:rsidP="00080FCB">
      <w:pPr>
        <w:pStyle w:val="Heading2"/>
        <w:numPr>
          <w:ilvl w:val="0"/>
          <w:numId w:val="13"/>
        </w:numPr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>Testified in arbitration proceedings, in the matter of a dispute between Andrew Laszlo and Lillian Laszlo vs. Morgan Stanley and Antony Gordon, March 2004. My testimony dealt with construction and dynamic rebalancing of a portfolio of stocks so as to track returns on a given stock.</w:t>
      </w:r>
    </w:p>
    <w:p w14:paraId="4DFA8809" w14:textId="77777777" w:rsidR="00080FCB" w:rsidRDefault="00080FCB" w:rsidP="00080FCB">
      <w:pPr>
        <w:pStyle w:val="Heading2"/>
        <w:rPr>
          <w:b w:val="0"/>
          <w:bCs/>
          <w:sz w:val="16"/>
          <w:u w:val="none"/>
        </w:rPr>
      </w:pPr>
    </w:p>
    <w:p w14:paraId="1F41A022" w14:textId="77777777" w:rsidR="00080FCB" w:rsidRDefault="00080FCB" w:rsidP="00080FCB">
      <w:pPr>
        <w:pStyle w:val="Heading2"/>
        <w:rPr>
          <w:u w:val="none"/>
        </w:rPr>
      </w:pPr>
      <w:r>
        <w:rPr>
          <w:u w:val="none"/>
        </w:rPr>
        <w:t>CONSULTING ASSIGNMENTS</w:t>
      </w:r>
    </w:p>
    <w:p w14:paraId="33A8EA2E" w14:textId="77777777" w:rsidR="00DC5985" w:rsidRDefault="00DC5985" w:rsidP="00080FCB">
      <w:pPr>
        <w:pStyle w:val="BodyText"/>
        <w:numPr>
          <w:ilvl w:val="0"/>
          <w:numId w:val="13"/>
        </w:numPr>
        <w:jc w:val="both"/>
      </w:pPr>
      <w:r>
        <w:t>Inferred the value of the underlying assets of a start-up from data on convertible debt issued by it.</w:t>
      </w:r>
    </w:p>
    <w:p w14:paraId="722CB888" w14:textId="77777777" w:rsidR="00C5341A" w:rsidRDefault="00C5341A" w:rsidP="00080FCB">
      <w:pPr>
        <w:pStyle w:val="BodyText"/>
        <w:numPr>
          <w:ilvl w:val="0"/>
          <w:numId w:val="13"/>
        </w:numPr>
        <w:jc w:val="both"/>
      </w:pPr>
      <w:r>
        <w:t>Constructed and valued a 10-year forward hedge for a $200 million exposure for a Norwegian firm invested in the USD.</w:t>
      </w:r>
    </w:p>
    <w:p w14:paraId="38B020BC" w14:textId="77777777" w:rsidR="00C5341A" w:rsidRDefault="00C5341A" w:rsidP="00080FCB">
      <w:pPr>
        <w:pStyle w:val="BodyText"/>
        <w:numPr>
          <w:ilvl w:val="0"/>
          <w:numId w:val="13"/>
        </w:numPr>
        <w:jc w:val="both"/>
      </w:pPr>
      <w:r>
        <w:t>Valuation of start-up firms in IT sector.</w:t>
      </w:r>
    </w:p>
    <w:p w14:paraId="57E4925B" w14:textId="77777777" w:rsidR="001D6AA6" w:rsidRDefault="001D6AA6" w:rsidP="00080FCB">
      <w:pPr>
        <w:pStyle w:val="BodyText"/>
        <w:numPr>
          <w:ilvl w:val="0"/>
          <w:numId w:val="13"/>
        </w:numPr>
        <w:jc w:val="both"/>
      </w:pPr>
      <w:r>
        <w:t>Estimated probability of default in a prominent bankruptcy litigation using market indicia such as bond prices and CDS spreads.</w:t>
      </w:r>
    </w:p>
    <w:p w14:paraId="76CF8087" w14:textId="77777777" w:rsidR="00FA4097" w:rsidRDefault="00FA4097" w:rsidP="00080FCB">
      <w:pPr>
        <w:pStyle w:val="BodyText"/>
        <w:numPr>
          <w:ilvl w:val="0"/>
          <w:numId w:val="13"/>
        </w:numPr>
        <w:jc w:val="both"/>
      </w:pPr>
      <w:r>
        <w:t>Empirical analysis on various corporate governance issues in a bankruptcy case.</w:t>
      </w:r>
    </w:p>
    <w:p w14:paraId="1182A239" w14:textId="77777777" w:rsidR="001D6AA6" w:rsidRDefault="001D6AA6" w:rsidP="00080FCB">
      <w:pPr>
        <w:pStyle w:val="BodyText"/>
        <w:numPr>
          <w:ilvl w:val="0"/>
          <w:numId w:val="13"/>
        </w:numPr>
        <w:jc w:val="both"/>
      </w:pPr>
      <w:r>
        <w:t xml:space="preserve">Constructed </w:t>
      </w:r>
      <w:r w:rsidR="00FA4097">
        <w:t>w</w:t>
      </w:r>
      <w:r>
        <w:t>hat-if models for analyzing the impact of various allegations in the context of litigation ensuing the bankruptcy of a prominent hedge fund invested in Agency Floating Rate RMBS and leveraged with Repo Loans.</w:t>
      </w:r>
      <w:r w:rsidR="00FA4097">
        <w:t xml:space="preserve"> This hedge fund was promoted by one of the </w:t>
      </w:r>
      <w:r w:rsidR="00C1531E">
        <w:t xml:space="preserve">largest and </w:t>
      </w:r>
      <w:r w:rsidR="00FA4097">
        <w:t>best know</w:t>
      </w:r>
      <w:r w:rsidR="00703D1E">
        <w:t>n</w:t>
      </w:r>
      <w:r w:rsidR="00FA4097">
        <w:t xml:space="preserve"> private equity firms in the world.</w:t>
      </w:r>
      <w:r w:rsidR="000B3574">
        <w:t xml:space="preserve"> It went bankrupt at the same time as Bear Stearns.</w:t>
      </w:r>
    </w:p>
    <w:p w14:paraId="5B961CD4" w14:textId="77777777" w:rsidR="001D6AA6" w:rsidRDefault="001D6AA6" w:rsidP="00080FCB">
      <w:pPr>
        <w:pStyle w:val="BodyText"/>
        <w:numPr>
          <w:ilvl w:val="0"/>
          <w:numId w:val="13"/>
        </w:numPr>
        <w:jc w:val="both"/>
      </w:pPr>
      <w:r>
        <w:t>Analyzed risk in a structured finance case involving Auction Rate Securities, Credit Default Swaps and Collateralized Debt Obligations.</w:t>
      </w:r>
    </w:p>
    <w:p w14:paraId="28DCCCBB" w14:textId="77777777" w:rsidR="001D6AA6" w:rsidRDefault="001D6AA6" w:rsidP="00080FCB">
      <w:pPr>
        <w:pStyle w:val="BodyText"/>
        <w:numPr>
          <w:ilvl w:val="0"/>
          <w:numId w:val="13"/>
        </w:numPr>
        <w:jc w:val="both"/>
      </w:pPr>
      <w:r>
        <w:t xml:space="preserve">Estimated impact of certain key events on trading activity by various econometric techniques in </w:t>
      </w:r>
      <w:r w:rsidR="00C1531E">
        <w:t>one of the most</w:t>
      </w:r>
      <w:r>
        <w:t xml:space="preserve"> prominent insider trading case</w:t>
      </w:r>
      <w:r w:rsidR="00C1531E">
        <w:t>s</w:t>
      </w:r>
      <w:r>
        <w:t>; reviewed extant literature on estimating the probability that informed trading is afoot in the market.</w:t>
      </w:r>
    </w:p>
    <w:p w14:paraId="39A6E1FF" w14:textId="77777777" w:rsidR="001D6AA6" w:rsidRDefault="000B3574" w:rsidP="00080FCB">
      <w:pPr>
        <w:pStyle w:val="BodyText"/>
        <w:numPr>
          <w:ilvl w:val="0"/>
          <w:numId w:val="13"/>
        </w:numPr>
        <w:jc w:val="both"/>
      </w:pPr>
      <w:r>
        <w:t>Econometrically tested for</w:t>
      </w:r>
      <w:r w:rsidR="001D6AA6">
        <w:t xml:space="preserve"> collusive behavior in LIBOR</w:t>
      </w:r>
      <w:r>
        <w:t xml:space="preserve"> </w:t>
      </w:r>
      <w:r w:rsidR="001D6AA6">
        <w:t>investigations.</w:t>
      </w:r>
      <w:r w:rsidR="00C1531E">
        <w:t xml:space="preserve"> Examined violations of Covered Interest rate Parity</w:t>
      </w:r>
      <w:r>
        <w:t>. Estimated impact on panel banks’ portfolio of derivatives of a one basis point change in LIBOR.</w:t>
      </w:r>
    </w:p>
    <w:p w14:paraId="5238D917" w14:textId="77777777" w:rsidR="001D6AA6" w:rsidRDefault="001D6AA6" w:rsidP="00080FCB">
      <w:pPr>
        <w:pStyle w:val="BodyText"/>
        <w:numPr>
          <w:ilvl w:val="0"/>
          <w:numId w:val="13"/>
        </w:numPr>
        <w:jc w:val="both"/>
      </w:pPr>
      <w:r>
        <w:t xml:space="preserve">Estimated the impact of various regulatory initiatives on the liquidity and efficiency of various market segments such as commercial paper, auction rate securities, etc., following the 2007-08 financial crisis in the context of class action lawsuits. </w:t>
      </w:r>
    </w:p>
    <w:p w14:paraId="69ED1EF2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>Estimated effectiveness of an interest rate hedge for compliance with FAS</w:t>
      </w:r>
      <w:r w:rsidR="006634EE" w:rsidRPr="006634EE">
        <w:t>B</w:t>
      </w:r>
      <w:r>
        <w:t xml:space="preserve"> 133 for a $165 million issue of Floating Rate Notes.</w:t>
      </w:r>
    </w:p>
    <w:p w14:paraId="48C910B7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Estimated values of foreign subsidiaries of various US-based </w:t>
      </w:r>
      <w:r w:rsidR="006634EE">
        <w:t>m</w:t>
      </w:r>
      <w:r>
        <w:t>ultinationals in various contexts such as transfer pricing, mergers and spin-offs.</w:t>
      </w:r>
    </w:p>
    <w:p w14:paraId="64931E69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Estimated </w:t>
      </w:r>
      <w:r w:rsidR="006634EE">
        <w:t>i</w:t>
      </w:r>
      <w:r>
        <w:t xml:space="preserve">mplied </w:t>
      </w:r>
      <w:r w:rsidR="006634EE">
        <w:t>v</w:t>
      </w:r>
      <w:r>
        <w:t xml:space="preserve">olatility of WorldCom’s </w:t>
      </w:r>
      <w:r w:rsidR="006634EE">
        <w:t>t</w:t>
      </w:r>
      <w:r>
        <w:t xml:space="preserve">otal </w:t>
      </w:r>
      <w:r w:rsidR="006634EE">
        <w:t>e</w:t>
      </w:r>
      <w:r>
        <w:t xml:space="preserve">nterprise </w:t>
      </w:r>
      <w:r w:rsidR="006634EE">
        <w:t>v</w:t>
      </w:r>
      <w:r>
        <w:t>alue, and valued its debt in a “but-for” setting using an option pricing model.</w:t>
      </w:r>
    </w:p>
    <w:p w14:paraId="7B028B7E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>Estimated damages in a mutual fund market timing case involving a mutual fund with assets of $10 billion.</w:t>
      </w:r>
    </w:p>
    <w:p w14:paraId="2BAE4973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Valued </w:t>
      </w:r>
      <w:r w:rsidR="006634EE">
        <w:t>c</w:t>
      </w:r>
      <w:r>
        <w:t xml:space="preserve">onvertible </w:t>
      </w:r>
      <w:r w:rsidR="006634EE">
        <w:t>b</w:t>
      </w:r>
      <w:r>
        <w:t>onds of SMTK Expedite, Inc. using a binomial model.</w:t>
      </w:r>
    </w:p>
    <w:p w14:paraId="5844912D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Valued </w:t>
      </w:r>
      <w:r w:rsidR="006634EE">
        <w:t>i</w:t>
      </w:r>
      <w:r>
        <w:t xml:space="preserve">nterest </w:t>
      </w:r>
      <w:r w:rsidR="006634EE">
        <w:t>r</w:t>
      </w:r>
      <w:r>
        <w:t xml:space="preserve">ate </w:t>
      </w:r>
      <w:r w:rsidR="006634EE">
        <w:t>s</w:t>
      </w:r>
      <w:r>
        <w:t>waps in a tax case.</w:t>
      </w:r>
    </w:p>
    <w:p w14:paraId="5982415D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>Worked out the composition</w:t>
      </w:r>
      <w:r w:rsidR="006634EE">
        <w:t xml:space="preserve"> of </w:t>
      </w:r>
      <w:r>
        <w:t xml:space="preserve">a “basket hedge” for tracking the return on a restricted stock on the basis of </w:t>
      </w:r>
      <w:r>
        <w:rPr>
          <w:i/>
          <w:iCs/>
        </w:rPr>
        <w:t>ex ante</w:t>
      </w:r>
      <w:r>
        <w:t xml:space="preserve"> data, and estimated financial damages based on the </w:t>
      </w:r>
      <w:r>
        <w:rPr>
          <w:i/>
          <w:iCs/>
        </w:rPr>
        <w:t>ex post</w:t>
      </w:r>
      <w:r>
        <w:t xml:space="preserve"> effectiveness of the hedge. Also testified before </w:t>
      </w:r>
      <w:r w:rsidR="00C60F9A">
        <w:t>the a</w:t>
      </w:r>
      <w:r>
        <w:t xml:space="preserve">rbitration </w:t>
      </w:r>
      <w:r w:rsidR="00C60F9A">
        <w:t>p</w:t>
      </w:r>
      <w:r>
        <w:t>anel in the case.</w:t>
      </w:r>
    </w:p>
    <w:p w14:paraId="75127AB4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Valued </w:t>
      </w:r>
      <w:r w:rsidR="00C60F9A">
        <w:t>w</w:t>
      </w:r>
      <w:r>
        <w:t xml:space="preserve">arrants and Employee Stock Options in a number of cases for both prominent publicly traded and for small privately held firms in the context of mergers and acquisitions, financial disclosure, and advisability of purchase into a pre-packaged portfolio of </w:t>
      </w:r>
      <w:r w:rsidR="00C60F9A">
        <w:t>w</w:t>
      </w:r>
      <w:r>
        <w:t>arrants on pre-IPO technology firms.</w:t>
      </w:r>
    </w:p>
    <w:p w14:paraId="60FA3723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Estimated </w:t>
      </w:r>
      <w:r w:rsidR="00C60F9A">
        <w:t>d</w:t>
      </w:r>
      <w:r>
        <w:t xml:space="preserve">amages in a number of </w:t>
      </w:r>
      <w:r w:rsidR="00C60F9A">
        <w:t>s</w:t>
      </w:r>
      <w:r>
        <w:t xml:space="preserve">ecurities </w:t>
      </w:r>
      <w:r w:rsidR="00C60F9A">
        <w:t>c</w:t>
      </w:r>
      <w:r>
        <w:t xml:space="preserve">lass </w:t>
      </w:r>
      <w:r w:rsidR="00C60F9A">
        <w:t>a</w:t>
      </w:r>
      <w:r>
        <w:t xml:space="preserve">ctions </w:t>
      </w:r>
      <w:r w:rsidR="00C60F9A">
        <w:t>l</w:t>
      </w:r>
      <w:r>
        <w:t>awsuits.</w:t>
      </w:r>
    </w:p>
    <w:p w14:paraId="7A221B58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Estimated the probability that an option to buy certain real assets will be exercised in the context of a tax court litigation involving </w:t>
      </w:r>
      <w:proofErr w:type="spellStart"/>
      <w:r w:rsidR="00946AAF">
        <w:t>EuroDisneyland</w:t>
      </w:r>
      <w:proofErr w:type="spellEnd"/>
      <w:r>
        <w:t>.</w:t>
      </w:r>
    </w:p>
    <w:p w14:paraId="097FF2D0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Valued </w:t>
      </w:r>
      <w:r w:rsidR="00946AAF">
        <w:t>i</w:t>
      </w:r>
      <w:r>
        <w:t xml:space="preserve">ntellectual </w:t>
      </w:r>
      <w:r w:rsidR="00946AAF">
        <w:t>p</w:t>
      </w:r>
      <w:r>
        <w:t xml:space="preserve">roperty </w:t>
      </w:r>
      <w:r w:rsidR="00946AAF">
        <w:t>r</w:t>
      </w:r>
      <w:r>
        <w:t>ights using Discounted Cash Flow</w:t>
      </w:r>
      <w:r w:rsidR="00C1531E">
        <w:t xml:space="preserve"> (and its equivalent, the Residual Income model)</w:t>
      </w:r>
      <w:r>
        <w:t xml:space="preserve"> and Real Options </w:t>
      </w:r>
      <w:r w:rsidR="00946AAF">
        <w:t>v</w:t>
      </w:r>
      <w:r>
        <w:t xml:space="preserve">aluation </w:t>
      </w:r>
      <w:r w:rsidR="00946AAF">
        <w:t>m</w:t>
      </w:r>
      <w:r>
        <w:t>ethodologies.</w:t>
      </w:r>
      <w:r w:rsidR="00C1531E">
        <w:t xml:space="preserve"> Also compared results with those obtained by using other valuation methods such as valuation by metrics.</w:t>
      </w:r>
    </w:p>
    <w:p w14:paraId="0C92C226" w14:textId="77777777" w:rsidR="00080FCB" w:rsidRDefault="00C1531E" w:rsidP="00080FCB">
      <w:pPr>
        <w:pStyle w:val="BodyText"/>
        <w:numPr>
          <w:ilvl w:val="0"/>
          <w:numId w:val="13"/>
        </w:numPr>
        <w:jc w:val="both"/>
      </w:pPr>
      <w:r>
        <w:t>Managed,</w:t>
      </w:r>
      <w:r w:rsidR="00080FCB">
        <w:t xml:space="preserve"> supervis</w:t>
      </w:r>
      <w:r>
        <w:t>ed</w:t>
      </w:r>
      <w:r w:rsidR="00080FCB">
        <w:t xml:space="preserve"> work on, and ha</w:t>
      </w:r>
      <w:r>
        <w:t>d</w:t>
      </w:r>
      <w:r w:rsidR="00080FCB">
        <w:t xml:space="preserve"> intellectual responsibility for, two expert reports in </w:t>
      </w:r>
      <w:proofErr w:type="spellStart"/>
      <w:r w:rsidR="00080FCB">
        <w:t>Winstar</w:t>
      </w:r>
      <w:proofErr w:type="spellEnd"/>
      <w:r w:rsidR="00080FCB">
        <w:t xml:space="preserve"> cases (both </w:t>
      </w:r>
      <w:r>
        <w:t>by</w:t>
      </w:r>
      <w:r w:rsidR="00080FCB">
        <w:t xml:space="preserve"> Professor Anthony Sanders)</w:t>
      </w:r>
      <w:r w:rsidR="00946AAF">
        <w:t xml:space="preserve"> for the US Department of Justice</w:t>
      </w:r>
      <w:r w:rsidR="00080FCB">
        <w:t xml:space="preserve">. Each of these two cases involved estimating the value of, and the risk inherent in, </w:t>
      </w:r>
      <w:r w:rsidR="001D6AA6">
        <w:t>$500-800 million Risk-Controlled Arbitrage portfolios of Mortgage-Backed Securities and their derivatives financed by repos</w:t>
      </w:r>
      <w:r w:rsidR="00080FCB">
        <w:t>.</w:t>
      </w:r>
    </w:p>
    <w:p w14:paraId="752EE233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>Constructed a hedge against downside market risk using a Portfolio Insurance strategy.</w:t>
      </w:r>
    </w:p>
    <w:p w14:paraId="22A8B9C9" w14:textId="77777777" w:rsidR="00080FCB" w:rsidRDefault="00080FCB" w:rsidP="00080FCB">
      <w:pPr>
        <w:pStyle w:val="BodyText"/>
        <w:numPr>
          <w:ilvl w:val="0"/>
          <w:numId w:val="13"/>
        </w:numPr>
      </w:pPr>
      <w:r>
        <w:t xml:space="preserve">Estimated a hedge fund’s market exposure from its large holdings of Index </w:t>
      </w:r>
      <w:r w:rsidR="00F1455F">
        <w:t>o</w:t>
      </w:r>
      <w:r>
        <w:t>ptions;</w:t>
      </w:r>
    </w:p>
    <w:p w14:paraId="3DEC2637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>Provided analytical support both in evolving a strategic defense and in developing and implementing financial valuation models in a variety of cases involving valuation of an internet spin-off, valuation of privately held firms, valuation of corporate bonds, securities fraud litigation, transfer pricing, intellectual property, portfolio insurance, and valuation of derivatives.</w:t>
      </w:r>
    </w:p>
    <w:p w14:paraId="2782EFC9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>Analyzed and critiqued opposition expert report valuing supervisory g</w:t>
      </w:r>
      <w:r w:rsidR="004104D8">
        <w:t xml:space="preserve">oodwill as a barrier option (a down and out </w:t>
      </w:r>
      <w:r w:rsidR="00946AAF">
        <w:t>c</w:t>
      </w:r>
      <w:r w:rsidR="004104D8">
        <w:t>all</w:t>
      </w:r>
      <w:r>
        <w:t xml:space="preserve">); </w:t>
      </w:r>
      <w:r w:rsidR="004104D8">
        <w:t>a</w:t>
      </w:r>
      <w:r>
        <w:t xml:space="preserve">ssisted </w:t>
      </w:r>
      <w:r w:rsidR="00946AAF">
        <w:t xml:space="preserve">US Department of Justice </w:t>
      </w:r>
      <w:r>
        <w:t>attorneys in deposition and cross-examination of opposition expert witness</w:t>
      </w:r>
      <w:r w:rsidR="001D6AA6">
        <w:t xml:space="preserve">, Professor Roger </w:t>
      </w:r>
      <w:proofErr w:type="spellStart"/>
      <w:r w:rsidR="001D6AA6">
        <w:t>Kormendi</w:t>
      </w:r>
      <w:proofErr w:type="spellEnd"/>
      <w:r>
        <w:t>. Assisted Prof. Alan Shapiro of USC with preparation of his expert report.</w:t>
      </w:r>
    </w:p>
    <w:p w14:paraId="6535C9C2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Provided analytical support to a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utility in a review by the California Public Utilities Commission on the prudence of its buying policies in </w:t>
      </w:r>
      <w:r w:rsidR="00946AAF">
        <w:t>s</w:t>
      </w:r>
      <w:r>
        <w:t xml:space="preserve">pot and </w:t>
      </w:r>
      <w:r w:rsidR="00946AAF">
        <w:t>f</w:t>
      </w:r>
      <w:r>
        <w:t xml:space="preserve">utures </w:t>
      </w:r>
      <w:r w:rsidR="00946AAF">
        <w:t>m</w:t>
      </w:r>
      <w:r>
        <w:t>arkets for electricity.</w:t>
      </w:r>
    </w:p>
    <w:p w14:paraId="5B8A0C37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Served as a consulting expert to the Commercial Litigation Branch of the US Department of Justice on several </w:t>
      </w:r>
      <w:proofErr w:type="spellStart"/>
      <w:r>
        <w:t>Winstar</w:t>
      </w:r>
      <w:proofErr w:type="spellEnd"/>
      <w:r>
        <w:t xml:space="preserve"> cases involving lawsuits against the government arising from FIRREA-mandated disallowance of supervisory goodwill </w:t>
      </w:r>
      <w:r w:rsidR="00946AAF">
        <w:t>as regulatory capital. Attended</w:t>
      </w:r>
      <w:r>
        <w:t xml:space="preserve"> and assisted </w:t>
      </w:r>
      <w:r w:rsidR="00946AAF">
        <w:t xml:space="preserve">US Department of Justice </w:t>
      </w:r>
      <w:r>
        <w:t xml:space="preserve">attorneys with questions in the deposition of </w:t>
      </w:r>
      <w:r w:rsidR="00EF75CF">
        <w:t>p</w:t>
      </w:r>
      <w:r>
        <w:t xml:space="preserve">laintiffs’ </w:t>
      </w:r>
      <w:r w:rsidR="00EF75CF">
        <w:t>e</w:t>
      </w:r>
      <w:r>
        <w:t xml:space="preserve">xpert </w:t>
      </w:r>
      <w:r w:rsidR="00EF75CF">
        <w:t>w</w:t>
      </w:r>
      <w:r>
        <w:t xml:space="preserve">itnesses including Professor Paul Horvitz, Dr. Roger </w:t>
      </w:r>
      <w:proofErr w:type="spellStart"/>
      <w:r>
        <w:t>Kormendi</w:t>
      </w:r>
      <w:proofErr w:type="spellEnd"/>
      <w:r>
        <w:t>, and Dr. R. Dan Brumbaugh.</w:t>
      </w:r>
    </w:p>
    <w:p w14:paraId="5A0373AB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Helped </w:t>
      </w:r>
      <w:r w:rsidR="00EF75CF">
        <w:t xml:space="preserve">US Department of Justice </w:t>
      </w:r>
      <w:r>
        <w:t xml:space="preserve">attorneys with deposition questions for several other </w:t>
      </w:r>
      <w:r w:rsidR="00EF75CF">
        <w:t>p</w:t>
      </w:r>
      <w:r>
        <w:t xml:space="preserve">laintiffs’ </w:t>
      </w:r>
      <w:r w:rsidR="00EF75CF">
        <w:t>e</w:t>
      </w:r>
      <w:r>
        <w:t xml:space="preserve">xpert and </w:t>
      </w:r>
      <w:r w:rsidR="00EF75CF">
        <w:t>f</w:t>
      </w:r>
      <w:r>
        <w:t xml:space="preserve">act </w:t>
      </w:r>
      <w:r w:rsidR="00EF75CF">
        <w:t>w</w:t>
      </w:r>
      <w:r>
        <w:t xml:space="preserve">itnesses in </w:t>
      </w:r>
      <w:proofErr w:type="spellStart"/>
      <w:r>
        <w:t>Winstar</w:t>
      </w:r>
      <w:proofErr w:type="spellEnd"/>
      <w:r>
        <w:t xml:space="preserve"> cases.</w:t>
      </w:r>
    </w:p>
    <w:p w14:paraId="51795138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Helped the </w:t>
      </w:r>
      <w:r w:rsidR="00EF75CF">
        <w:t xml:space="preserve">US Department of Justice </w:t>
      </w:r>
      <w:r>
        <w:t xml:space="preserve">critique expert reports of several </w:t>
      </w:r>
      <w:r w:rsidR="00EF75CF">
        <w:t>p</w:t>
      </w:r>
      <w:r>
        <w:t xml:space="preserve">laintiffs’ </w:t>
      </w:r>
      <w:r w:rsidR="00EF75CF">
        <w:t>e</w:t>
      </w:r>
      <w:r>
        <w:t xml:space="preserve">xpert </w:t>
      </w:r>
      <w:r w:rsidR="00EF75CF">
        <w:t>w</w:t>
      </w:r>
      <w:r>
        <w:t xml:space="preserve">itnesses in </w:t>
      </w:r>
      <w:proofErr w:type="spellStart"/>
      <w:r>
        <w:t>Winstar</w:t>
      </w:r>
      <w:proofErr w:type="spellEnd"/>
      <w:r>
        <w:t xml:space="preserve"> cases.</w:t>
      </w:r>
    </w:p>
    <w:p w14:paraId="362DB2FA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Helped prepare </w:t>
      </w:r>
      <w:r w:rsidR="00EF75CF">
        <w:t>d</w:t>
      </w:r>
      <w:r>
        <w:t xml:space="preserve">efendants’ </w:t>
      </w:r>
      <w:r w:rsidR="00EF75CF">
        <w:t>e</w:t>
      </w:r>
      <w:r>
        <w:t xml:space="preserve">xpert </w:t>
      </w:r>
      <w:r w:rsidR="00EF75CF">
        <w:t>w</w:t>
      </w:r>
      <w:r>
        <w:t xml:space="preserve">itnesses </w:t>
      </w:r>
      <w:r w:rsidR="00EF75CF">
        <w:t>r</w:t>
      </w:r>
      <w:r>
        <w:t xml:space="preserve">eports in several </w:t>
      </w:r>
      <w:proofErr w:type="spellStart"/>
      <w:r>
        <w:t>Winstar</w:t>
      </w:r>
      <w:proofErr w:type="spellEnd"/>
      <w:r>
        <w:t xml:space="preserve"> cases.</w:t>
      </w:r>
    </w:p>
    <w:p w14:paraId="1237EE4D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Provided litigation support to the US Department of Justice in </w:t>
      </w:r>
      <w:proofErr w:type="spellStart"/>
      <w:r>
        <w:t>Suess</w:t>
      </w:r>
      <w:proofErr w:type="spellEnd"/>
      <w:r>
        <w:t xml:space="preserve"> vs. the US Government; </w:t>
      </w:r>
      <w:r w:rsidR="00EF75CF">
        <w:t>a</w:t>
      </w:r>
      <w:r>
        <w:t xml:space="preserve">nalyzed and critiqued opposition expert reports and financial models; </w:t>
      </w:r>
      <w:r w:rsidR="00EF75CF">
        <w:t>a</w:t>
      </w:r>
      <w:r>
        <w:t xml:space="preserve">ssisted </w:t>
      </w:r>
      <w:r w:rsidR="00EF75CF">
        <w:t xml:space="preserve">US Department of Justice </w:t>
      </w:r>
      <w:r>
        <w:t>attorneys with questions in the testimony of opposition expert witnesses at deposition and trial</w:t>
      </w:r>
    </w:p>
    <w:p w14:paraId="06BDAC69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>Provided litigation support to the US Department of Justice in California Federal Savings and Loan (</w:t>
      </w:r>
      <w:proofErr w:type="spellStart"/>
      <w:r>
        <w:t>Calfed</w:t>
      </w:r>
      <w:proofErr w:type="spellEnd"/>
      <w:r>
        <w:t xml:space="preserve">) vs. the US Government; </w:t>
      </w:r>
      <w:r w:rsidR="00EF75CF">
        <w:t>a</w:t>
      </w:r>
      <w:r>
        <w:t xml:space="preserve">nalyzed and critiqued opposition expert reports and financial models; </w:t>
      </w:r>
      <w:r w:rsidR="00EF75CF">
        <w:t>v</w:t>
      </w:r>
      <w:r>
        <w:t xml:space="preserve">alued the thrift’s capital certificates on an </w:t>
      </w:r>
      <w:r>
        <w:rPr>
          <w:i/>
          <w:iCs/>
        </w:rPr>
        <w:t>ex ante</w:t>
      </w:r>
      <w:r>
        <w:t xml:space="preserve"> basis.</w:t>
      </w:r>
    </w:p>
    <w:p w14:paraId="358BE09B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Provided litigation support to the US Department of Justice in </w:t>
      </w:r>
      <w:proofErr w:type="spellStart"/>
      <w:r>
        <w:t>Maco</w:t>
      </w:r>
      <w:proofErr w:type="spellEnd"/>
      <w:r>
        <w:t xml:space="preserve"> Bank vs. the US Government; </w:t>
      </w:r>
      <w:r w:rsidR="00946AAF">
        <w:t>a</w:t>
      </w:r>
      <w:r>
        <w:t xml:space="preserve">nalyzed and critiqued opposition expert reports and financial models; </w:t>
      </w:r>
      <w:r w:rsidR="00B57066">
        <w:t>e</w:t>
      </w:r>
      <w:r>
        <w:t xml:space="preserve">volved a framework for pricing supervisory goodwill with option-pricing; </w:t>
      </w:r>
      <w:r w:rsidR="00B57066">
        <w:t>h</w:t>
      </w:r>
      <w:r>
        <w:t xml:space="preserve">elped design an event study for valuing supervisory capital by estimating the stock price reaction to its elimination; </w:t>
      </w:r>
      <w:r w:rsidR="00B57066">
        <w:t>h</w:t>
      </w:r>
      <w:r>
        <w:t>elped prepare the expert report of Professor Robert Hall of Hoover Institute and Stanford University.</w:t>
      </w:r>
    </w:p>
    <w:p w14:paraId="52347772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>Provided litigation support to an investment banking firm in a case dealing with alleged mismanagement in a managed futures account.</w:t>
      </w:r>
    </w:p>
    <w:p w14:paraId="41D721C9" w14:textId="77777777" w:rsidR="00080FCB" w:rsidRDefault="00080FCB" w:rsidP="00080FCB">
      <w:pPr>
        <w:pStyle w:val="BodyText"/>
        <w:numPr>
          <w:ilvl w:val="0"/>
          <w:numId w:val="13"/>
        </w:numPr>
        <w:jc w:val="both"/>
      </w:pPr>
      <w:r>
        <w:t xml:space="preserve">Analyzed the impact it would have on the state economy and revenue base if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were to adopt a </w:t>
      </w:r>
      <w:r w:rsidR="00946AAF">
        <w:t>s</w:t>
      </w:r>
      <w:r>
        <w:t>ingle-</w:t>
      </w:r>
      <w:r w:rsidR="00946AAF">
        <w:t>f</w:t>
      </w:r>
      <w:r>
        <w:t>actor (</w:t>
      </w:r>
      <w:r w:rsidR="00946AAF">
        <w:t>s</w:t>
      </w:r>
      <w:r>
        <w:t xml:space="preserve">ales) </w:t>
      </w:r>
      <w:r w:rsidR="00946AAF">
        <w:t>a</w:t>
      </w:r>
      <w:r>
        <w:t xml:space="preserve">pportionment </w:t>
      </w:r>
      <w:r w:rsidR="00946AAF">
        <w:t>f</w:t>
      </w:r>
      <w:r>
        <w:t>ormula.</w:t>
      </w:r>
    </w:p>
    <w:p w14:paraId="7537FFE5" w14:textId="77777777" w:rsidR="00080FCB" w:rsidRDefault="00080FCB" w:rsidP="00080FCB">
      <w:pPr>
        <w:tabs>
          <w:tab w:val="left" w:pos="0"/>
          <w:tab w:val="left" w:pos="259"/>
          <w:tab w:val="left" w:pos="720"/>
        </w:tabs>
        <w:suppressAutoHyphens/>
        <w:spacing w:after="240"/>
        <w:rPr>
          <w:rFonts w:ascii="Times New Roman" w:hAnsi="Times New Roman"/>
          <w:sz w:val="6"/>
        </w:rPr>
      </w:pPr>
    </w:p>
    <w:p w14:paraId="0060F945" w14:textId="77777777" w:rsidR="00AE7E4C" w:rsidRPr="00AE7E4C" w:rsidRDefault="00AE7E4C" w:rsidP="00AE7E4C">
      <w:pPr>
        <w:pStyle w:val="Heading6"/>
        <w:rPr>
          <w:u w:val="none"/>
        </w:rPr>
      </w:pPr>
      <w:r w:rsidRPr="00AE7E4C">
        <w:rPr>
          <w:u w:val="none"/>
        </w:rPr>
        <w:t>DISTINCTIONS AND AWARDS</w:t>
      </w:r>
    </w:p>
    <w:p w14:paraId="23476FF6" w14:textId="77777777" w:rsidR="00AE7E4C" w:rsidRDefault="00AE7E4C" w:rsidP="00AE7E4C">
      <w:pPr>
        <w:numPr>
          <w:ilvl w:val="0"/>
          <w:numId w:val="7"/>
        </w:numPr>
        <w:tabs>
          <w:tab w:val="clear" w:pos="360"/>
          <w:tab w:val="left" w:pos="0"/>
          <w:tab w:val="left" w:pos="540"/>
          <w:tab w:val="num" w:pos="72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Nominated for, and received Honorable Mention for, the </w:t>
      </w:r>
      <w:proofErr w:type="spellStart"/>
      <w:r>
        <w:rPr>
          <w:rFonts w:ascii="Times New Roman" w:hAnsi="Times New Roman"/>
          <w:sz w:val="24"/>
        </w:rPr>
        <w:t>Cheit</w:t>
      </w:r>
      <w:proofErr w:type="spellEnd"/>
      <w:r>
        <w:rPr>
          <w:rFonts w:ascii="Times New Roman" w:hAnsi="Times New Roman"/>
          <w:sz w:val="24"/>
        </w:rPr>
        <w:t xml:space="preserve"> Award for Distinguished Teacher of the Year for 1999-2000 at Haas School of Business,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 xml:space="preserve">. Also, </w:t>
      </w:r>
      <w:r w:rsidR="007A4B1B">
        <w:rPr>
          <w:rFonts w:ascii="Times New Roman" w:hAnsi="Times New Roman"/>
          <w:sz w:val="24"/>
        </w:rPr>
        <w:t xml:space="preserve">I have been </w:t>
      </w:r>
      <w:r>
        <w:rPr>
          <w:rFonts w:ascii="Times New Roman" w:hAnsi="Times New Roman"/>
          <w:sz w:val="24"/>
        </w:rPr>
        <w:t>a member of “Club 6”, to which only those achieving ratings of 6.0 or better on a 7 point scale are admitted.</w:t>
      </w:r>
    </w:p>
    <w:p w14:paraId="069EE413" w14:textId="77777777" w:rsidR="00AE7E4C" w:rsidRDefault="00AE7E4C" w:rsidP="00AE7E4C">
      <w:pPr>
        <w:tabs>
          <w:tab w:val="left" w:pos="0"/>
          <w:tab w:val="left" w:pos="540"/>
          <w:tab w:val="left" w:pos="720"/>
          <w:tab w:val="num" w:pos="1080"/>
          <w:tab w:val="left" w:pos="2340"/>
          <w:tab w:val="left" w:pos="2880"/>
        </w:tabs>
        <w:suppressAutoHyphens/>
        <w:rPr>
          <w:rFonts w:ascii="Times New Roman" w:hAnsi="Times New Roman"/>
          <w:sz w:val="6"/>
        </w:rPr>
      </w:pPr>
    </w:p>
    <w:p w14:paraId="18A05524" w14:textId="77777777" w:rsidR="00AE7E4C" w:rsidRDefault="00FA4236" w:rsidP="00AE7E4C">
      <w:pPr>
        <w:numPr>
          <w:ilvl w:val="0"/>
          <w:numId w:val="7"/>
        </w:numPr>
        <w:tabs>
          <w:tab w:val="clear" w:pos="360"/>
          <w:tab w:val="left" w:pos="0"/>
          <w:tab w:val="left" w:pos="540"/>
          <w:tab w:val="num" w:pos="72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Was the only </w:t>
      </w:r>
      <w:r w:rsidR="00392251">
        <w:rPr>
          <w:rFonts w:ascii="Times New Roman" w:hAnsi="Times New Roman"/>
          <w:sz w:val="24"/>
        </w:rPr>
        <w:t>student</w:t>
      </w:r>
      <w:r>
        <w:rPr>
          <w:rFonts w:ascii="Times New Roman" w:hAnsi="Times New Roman"/>
          <w:sz w:val="24"/>
        </w:rPr>
        <w:t xml:space="preserve"> </w:t>
      </w:r>
      <w:r w:rsidR="00B72ADD">
        <w:rPr>
          <w:rFonts w:ascii="Times New Roman" w:hAnsi="Times New Roman"/>
          <w:sz w:val="24"/>
        </w:rPr>
        <w:t xml:space="preserve">in my class </w:t>
      </w:r>
      <w:r>
        <w:rPr>
          <w:rFonts w:ascii="Times New Roman" w:hAnsi="Times New Roman"/>
          <w:sz w:val="24"/>
        </w:rPr>
        <w:t xml:space="preserve">to get </w:t>
      </w:r>
      <w:r w:rsidR="00AE7E4C">
        <w:rPr>
          <w:rFonts w:ascii="Times New Roman" w:hAnsi="Times New Roman"/>
          <w:sz w:val="24"/>
        </w:rPr>
        <w:t xml:space="preserve">Distinction in </w:t>
      </w:r>
      <w:r>
        <w:rPr>
          <w:rFonts w:ascii="Times New Roman" w:hAnsi="Times New Roman"/>
          <w:sz w:val="24"/>
        </w:rPr>
        <w:t>c</w:t>
      </w:r>
      <w:r w:rsidR="00AE7E4C">
        <w:rPr>
          <w:rFonts w:ascii="Times New Roman" w:hAnsi="Times New Roman"/>
          <w:sz w:val="24"/>
        </w:rPr>
        <w:t xml:space="preserve">omprehensive </w:t>
      </w:r>
      <w:r>
        <w:rPr>
          <w:rFonts w:ascii="Times New Roman" w:hAnsi="Times New Roman"/>
          <w:sz w:val="24"/>
        </w:rPr>
        <w:t>e</w:t>
      </w:r>
      <w:r w:rsidR="00AE7E4C">
        <w:rPr>
          <w:rFonts w:ascii="Times New Roman" w:hAnsi="Times New Roman"/>
          <w:sz w:val="24"/>
        </w:rPr>
        <w:t>xamination</w:t>
      </w:r>
      <w:r>
        <w:rPr>
          <w:rFonts w:ascii="Times New Roman" w:hAnsi="Times New Roman"/>
          <w:sz w:val="24"/>
        </w:rPr>
        <w:t xml:space="preserve"> for PhD Finance at</w:t>
      </w:r>
      <w:r w:rsidR="00AE7E4C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="00AE7E4C">
          <w:rPr>
            <w:rFonts w:ascii="Times New Roman" w:hAnsi="Times New Roman"/>
            <w:sz w:val="24"/>
          </w:rPr>
          <w:t>University</w:t>
        </w:r>
      </w:smartTag>
      <w:r w:rsidR="00AE7E4C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="00AE7E4C">
          <w:rPr>
            <w:rFonts w:ascii="Times New Roman" w:hAnsi="Times New Roman"/>
            <w:sz w:val="24"/>
          </w:rPr>
          <w:t>California</w:t>
        </w:r>
      </w:smartTag>
      <w:r w:rsidR="00AE7E4C"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E7E4C"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 xml:space="preserve"> in</w:t>
      </w:r>
      <w:r w:rsidR="00AE7E4C">
        <w:rPr>
          <w:rFonts w:ascii="Times New Roman" w:hAnsi="Times New Roman"/>
          <w:sz w:val="24"/>
        </w:rPr>
        <w:t xml:space="preserve"> 1984.</w:t>
      </w:r>
    </w:p>
    <w:p w14:paraId="59EF0E4F" w14:textId="77777777" w:rsidR="00AE7E4C" w:rsidRDefault="00AE7E4C" w:rsidP="00AE7E4C">
      <w:pPr>
        <w:tabs>
          <w:tab w:val="left" w:pos="0"/>
          <w:tab w:val="left" w:pos="540"/>
          <w:tab w:val="left" w:pos="720"/>
          <w:tab w:val="num" w:pos="1080"/>
          <w:tab w:val="left" w:pos="2340"/>
          <w:tab w:val="left" w:pos="2880"/>
        </w:tabs>
        <w:suppressAutoHyphens/>
        <w:rPr>
          <w:rFonts w:ascii="Times New Roman" w:hAnsi="Times New Roman"/>
          <w:sz w:val="6"/>
        </w:rPr>
      </w:pPr>
    </w:p>
    <w:p w14:paraId="4304CA6F" w14:textId="77777777" w:rsidR="00AE7E4C" w:rsidRDefault="00AE7E4C" w:rsidP="00AE7E4C">
      <w:pPr>
        <w:numPr>
          <w:ilvl w:val="0"/>
          <w:numId w:val="7"/>
        </w:numPr>
        <w:tabs>
          <w:tab w:val="clear" w:pos="360"/>
          <w:tab w:val="left" w:pos="0"/>
          <w:tab w:val="left" w:pos="540"/>
          <w:tab w:val="num" w:pos="72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Dean Witter Fellowship,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University</w:t>
        </w:r>
      </w:smartTag>
      <w:r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California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>, 198</w:t>
      </w:r>
      <w:r w:rsidR="00392251">
        <w:rPr>
          <w:rFonts w:ascii="Times New Roman" w:hAnsi="Times New Roman"/>
          <w:sz w:val="24"/>
        </w:rPr>
        <w:t>2-</w:t>
      </w:r>
      <w:r>
        <w:rPr>
          <w:rFonts w:ascii="Times New Roman" w:hAnsi="Times New Roman"/>
          <w:sz w:val="24"/>
        </w:rPr>
        <w:t>3.</w:t>
      </w:r>
    </w:p>
    <w:p w14:paraId="29D6E715" w14:textId="77777777" w:rsidR="00AE7E4C" w:rsidRDefault="00AE7E4C" w:rsidP="00AE7E4C">
      <w:pPr>
        <w:tabs>
          <w:tab w:val="left" w:pos="0"/>
          <w:tab w:val="left" w:pos="540"/>
          <w:tab w:val="num" w:pos="1080"/>
          <w:tab w:val="left" w:pos="2340"/>
          <w:tab w:val="left" w:pos="2880"/>
        </w:tabs>
        <w:suppressAutoHyphens/>
        <w:rPr>
          <w:rFonts w:ascii="Times New Roman" w:hAnsi="Times New Roman"/>
          <w:sz w:val="6"/>
        </w:rPr>
      </w:pPr>
    </w:p>
    <w:p w14:paraId="346BD38A" w14:textId="77777777" w:rsidR="00AE7E4C" w:rsidRDefault="00B72ADD" w:rsidP="00AE7E4C">
      <w:pPr>
        <w:numPr>
          <w:ilvl w:val="0"/>
          <w:numId w:val="7"/>
        </w:numPr>
        <w:tabs>
          <w:tab w:val="clear" w:pos="360"/>
          <w:tab w:val="left" w:pos="0"/>
          <w:tab w:val="left" w:pos="540"/>
          <w:tab w:val="num" w:pos="72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Finished high school at age 14 and f</w:t>
      </w:r>
      <w:r w:rsidR="00AE7E4C">
        <w:rPr>
          <w:rFonts w:ascii="Times New Roman" w:hAnsi="Times New Roman"/>
          <w:sz w:val="24"/>
        </w:rPr>
        <w:t xml:space="preserve">inished B.Sc. </w:t>
      </w:r>
      <w:r>
        <w:rPr>
          <w:rFonts w:ascii="Times New Roman" w:hAnsi="Times New Roman"/>
          <w:sz w:val="24"/>
        </w:rPr>
        <w:t xml:space="preserve">at age 17 appearing </w:t>
      </w:r>
      <w:r w:rsidR="00AE7E4C">
        <w:rPr>
          <w:rFonts w:ascii="Times New Roman" w:hAnsi="Times New Roman"/>
          <w:sz w:val="24"/>
        </w:rPr>
        <w:t>in the Vice-Chancellor’s list of top 10.</w:t>
      </w:r>
    </w:p>
    <w:p w14:paraId="279F36D7" w14:textId="77777777" w:rsidR="00392251" w:rsidRPr="00392251" w:rsidRDefault="00392251" w:rsidP="00392251">
      <w:pPr>
        <w:tabs>
          <w:tab w:val="left" w:pos="0"/>
          <w:tab w:val="left" w:pos="1440"/>
        </w:tabs>
        <w:suppressAutoHyphens/>
        <w:rPr>
          <w:rFonts w:ascii="Times New Roman" w:hAnsi="Times New Roman"/>
          <w:sz w:val="18"/>
        </w:rPr>
      </w:pPr>
    </w:p>
    <w:p w14:paraId="2207AA8D" w14:textId="77777777" w:rsidR="00AC71D7" w:rsidRPr="00AE7E4C" w:rsidRDefault="00AC71D7" w:rsidP="00AC71D7">
      <w:pPr>
        <w:pStyle w:val="Heading7"/>
        <w:rPr>
          <w:u w:val="none"/>
        </w:rPr>
      </w:pPr>
      <w:r w:rsidRPr="00AE7E4C">
        <w:rPr>
          <w:u w:val="none"/>
        </w:rPr>
        <w:t>OTHER PROFESSIONAL ACTIVITIES</w:t>
      </w:r>
    </w:p>
    <w:p w14:paraId="1B26B1E6" w14:textId="77777777" w:rsidR="00AC71D7" w:rsidRPr="00E2487D" w:rsidRDefault="00AC71D7" w:rsidP="00AC71D7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2340" w:hanging="2340"/>
        <w:rPr>
          <w:rFonts w:ascii="Times New Roman" w:hAnsi="Times New Roman"/>
          <w:sz w:val="12"/>
          <w:szCs w:val="12"/>
        </w:rPr>
      </w:pPr>
    </w:p>
    <w:p w14:paraId="368393C1" w14:textId="77777777" w:rsidR="00AC71D7" w:rsidRDefault="00AC71D7" w:rsidP="00AC71D7">
      <w:pPr>
        <w:numPr>
          <w:ilvl w:val="0"/>
          <w:numId w:val="7"/>
        </w:numPr>
        <w:tabs>
          <w:tab w:val="clear" w:pos="360"/>
          <w:tab w:val="left" w:pos="0"/>
          <w:tab w:val="left" w:pos="540"/>
          <w:tab w:val="num" w:pos="72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Served as a referee for Journal of Banking and Finance, Quarterly Journal of Business and Economics, and Journal of Financial Research.</w:t>
      </w:r>
    </w:p>
    <w:p w14:paraId="70C82CBA" w14:textId="77777777" w:rsidR="00AC71D7" w:rsidRDefault="00AC71D7" w:rsidP="00AC71D7">
      <w:pPr>
        <w:numPr>
          <w:ilvl w:val="0"/>
          <w:numId w:val="7"/>
        </w:numPr>
        <w:tabs>
          <w:tab w:val="clear" w:pos="360"/>
          <w:tab w:val="left" w:pos="0"/>
          <w:tab w:val="left" w:pos="540"/>
          <w:tab w:val="num" w:pos="72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Chaired sessions and discussed papers at meetings of Eastern Finance Association and Eastern Accounting Association.</w:t>
      </w:r>
    </w:p>
    <w:p w14:paraId="4A68BEB3" w14:textId="77777777" w:rsidR="00AC71D7" w:rsidRDefault="00AC71D7" w:rsidP="00AC71D7">
      <w:pPr>
        <w:numPr>
          <w:ilvl w:val="0"/>
          <w:numId w:val="7"/>
        </w:numPr>
        <w:tabs>
          <w:tab w:val="clear" w:pos="360"/>
          <w:tab w:val="left" w:pos="0"/>
          <w:tab w:val="left" w:pos="540"/>
          <w:tab w:val="num" w:pos="720"/>
          <w:tab w:val="num" w:pos="1080"/>
          <w:tab w:val="left" w:pos="2340"/>
          <w:tab w:val="left" w:pos="288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</w:t>
      </w:r>
      <w:r w:rsidR="007A4B1B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ved as an Independent Director on the Board of F&amp;G European Equity Fund, a </w:t>
      </w:r>
      <w:smartTag w:uri="urn:schemas-microsoft-com:office:smarttags" w:element="PlaceName">
        <w:r>
          <w:rPr>
            <w:rFonts w:ascii="Times New Roman" w:hAnsi="Times New Roman"/>
            <w:sz w:val="24"/>
          </w:rPr>
          <w:t>Cayman</w:t>
        </w:r>
      </w:smartTag>
      <w:r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</w:rPr>
          <w:t>Island</w:t>
        </w:r>
      </w:smartTag>
      <w:r>
        <w:rPr>
          <w:rFonts w:ascii="Times New Roman" w:hAnsi="Times New Roman"/>
          <w:sz w:val="24"/>
        </w:rPr>
        <w:t xml:space="preserve"> market-neutral hedge fund run out of London, from its inception in 2003 to its [voluntary] liquidation in October 2008.</w:t>
      </w:r>
    </w:p>
    <w:p w14:paraId="2F68BEDB" w14:textId="77777777" w:rsidR="00AC71D7" w:rsidRDefault="00AC71D7" w:rsidP="00AC71D7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2340" w:hanging="2340"/>
        <w:rPr>
          <w:rFonts w:ascii="Times New Roman" w:hAnsi="Times New Roman"/>
          <w:sz w:val="18"/>
        </w:rPr>
      </w:pPr>
    </w:p>
    <w:p w14:paraId="606EABA0" w14:textId="77777777" w:rsidR="00AE7E4C" w:rsidRPr="00AE7E4C" w:rsidRDefault="00AE7E4C" w:rsidP="00AE7E4C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2340" w:hanging="2340"/>
        <w:rPr>
          <w:rFonts w:ascii="Times New Roman" w:hAnsi="Times New Roman"/>
          <w:sz w:val="18"/>
        </w:rPr>
      </w:pPr>
      <w:r w:rsidRPr="00AE7E4C">
        <w:rPr>
          <w:rFonts w:ascii="Times New Roman" w:hAnsi="Times New Roman"/>
          <w:b/>
          <w:sz w:val="24"/>
        </w:rPr>
        <w:t>DISSERTATION COMMITTEES</w:t>
      </w:r>
    </w:p>
    <w:p w14:paraId="10BB11B0" w14:textId="77777777" w:rsidR="00AE7E4C" w:rsidRPr="00E2487D" w:rsidRDefault="00AE7E4C" w:rsidP="00AE7E4C">
      <w:pPr>
        <w:tabs>
          <w:tab w:val="left" w:pos="0"/>
          <w:tab w:val="left" w:pos="540"/>
          <w:tab w:val="left" w:pos="2340"/>
          <w:tab w:val="left" w:pos="2880"/>
        </w:tabs>
        <w:suppressAutoHyphens/>
        <w:ind w:left="2340" w:hanging="2340"/>
        <w:rPr>
          <w:rFonts w:ascii="Times New Roman" w:hAnsi="Times New Roman"/>
          <w:sz w:val="12"/>
          <w:szCs w:val="12"/>
        </w:rPr>
      </w:pPr>
    </w:p>
    <w:p w14:paraId="73A24A60" w14:textId="77777777" w:rsidR="00AE7E4C" w:rsidRDefault="00AE7E4C" w:rsidP="00AE7E4C">
      <w:pPr>
        <w:pStyle w:val="BodyText"/>
        <w:numPr>
          <w:ilvl w:val="0"/>
          <w:numId w:val="11"/>
        </w:numPr>
        <w:tabs>
          <w:tab w:val="clear" w:pos="360"/>
          <w:tab w:val="clear" w:pos="1980"/>
          <w:tab w:val="clear" w:pos="2160"/>
          <w:tab w:val="left" w:pos="259"/>
          <w:tab w:val="left" w:pos="720"/>
          <w:tab w:val="num" w:pos="1080"/>
        </w:tabs>
        <w:spacing w:after="240"/>
        <w:ind w:left="1080"/>
      </w:pPr>
      <w:r>
        <w:t xml:space="preserve">Served on the dissertation committees of doctoral students in Finance and in Economics at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Massachusetts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Amherst</w:t>
          </w:r>
        </w:smartTag>
      </w:smartTag>
      <w:r>
        <w:t>.</w:t>
      </w:r>
    </w:p>
    <w:p w14:paraId="340C42FB" w14:textId="77777777" w:rsidR="00AE7E4C" w:rsidRDefault="00AE7E4C" w:rsidP="00AE7E4C">
      <w:pPr>
        <w:pStyle w:val="BodyText"/>
        <w:numPr>
          <w:ilvl w:val="0"/>
          <w:numId w:val="11"/>
        </w:numPr>
        <w:tabs>
          <w:tab w:val="clear" w:pos="360"/>
          <w:tab w:val="clear" w:pos="1980"/>
          <w:tab w:val="clear" w:pos="2160"/>
          <w:tab w:val="left" w:pos="259"/>
          <w:tab w:val="left" w:pos="720"/>
          <w:tab w:val="num" w:pos="1080"/>
        </w:tabs>
        <w:spacing w:after="240"/>
        <w:ind w:left="1080"/>
      </w:pPr>
      <w:r>
        <w:t xml:space="preserve">Served as independent study advisor to MBA students at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Massachusetts</w:t>
        </w:r>
      </w:smartTag>
      <w:r>
        <w:t xml:space="preserve">, </w:t>
      </w:r>
      <w:smartTag w:uri="urn:schemas-microsoft-com:office:smarttags" w:element="City">
        <w:r>
          <w:t>Amherst</w:t>
        </w:r>
      </w:smartTag>
      <w:r>
        <w:t xml:space="preserve">, at </w:t>
      </w:r>
      <w:smartTag w:uri="urn:schemas-microsoft-com:office:smarttags" w:element="PlaceName">
        <w:r>
          <w:t>Washington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at </w:t>
      </w:r>
      <w:smartTag w:uri="urn:schemas-microsoft-com:office:smarttags" w:element="City">
        <w:r>
          <w:t>Saint Louis</w:t>
        </w:r>
      </w:smartTag>
      <w:r>
        <w:t xml:space="preserve">, </w:t>
      </w:r>
      <w:smartTag w:uri="urn:schemas-microsoft-com:office:smarttags" w:element="State">
        <w:r>
          <w:t>Missouri</w:t>
        </w:r>
      </w:smartTag>
      <w:r>
        <w:t xml:space="preserve">, </w:t>
      </w:r>
      <w:r w:rsidR="007A4B1B">
        <w:t xml:space="preserve">and at University of Oregon, Eugene, OR, </w:t>
      </w:r>
      <w:r>
        <w:t xml:space="preserve">on topics as diverse as </w:t>
      </w:r>
      <w:r w:rsidR="007A4B1B">
        <w:t xml:space="preserve">Financial Crisis, Applications of </w:t>
      </w:r>
      <w:r>
        <w:t>Stochastic Calculus</w:t>
      </w:r>
      <w:r w:rsidR="007A4B1B">
        <w:t xml:space="preserve"> to Finance</w:t>
      </w:r>
      <w:r>
        <w:t xml:space="preserve">, Tax Havens, Collectibles as Investment, and Emergence of an Integrated Market in </w:t>
      </w:r>
      <w:smartTag w:uri="urn:schemas-microsoft-com:office:smarttags" w:element="place">
        <w:r>
          <w:t>Europe</w:t>
        </w:r>
      </w:smartTag>
      <w:r>
        <w:t>.</w:t>
      </w:r>
    </w:p>
    <w:p w14:paraId="557265A2" w14:textId="77777777" w:rsidR="009203AE" w:rsidRDefault="009203AE" w:rsidP="009203AE">
      <w:pPr>
        <w:tabs>
          <w:tab w:val="left" w:pos="0"/>
          <w:tab w:val="left" w:pos="540"/>
          <w:tab w:val="left" w:pos="2340"/>
          <w:tab w:val="left" w:pos="2880"/>
        </w:tabs>
        <w:suppressAutoHyphens/>
        <w:rPr>
          <w:rFonts w:ascii="Times New Roman" w:hAnsi="Times New Roman"/>
          <w:sz w:val="18"/>
        </w:rPr>
      </w:pPr>
    </w:p>
    <w:sectPr w:rsidR="009203AE" w:rsidSect="00031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814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9B82E" w14:textId="77777777" w:rsidR="00A21FCC" w:rsidRDefault="00A21FCC">
      <w:pPr>
        <w:spacing w:line="20" w:lineRule="exact"/>
        <w:rPr>
          <w:sz w:val="24"/>
        </w:rPr>
      </w:pPr>
    </w:p>
  </w:endnote>
  <w:endnote w:type="continuationSeparator" w:id="0">
    <w:p w14:paraId="35850B2A" w14:textId="77777777" w:rsidR="00A21FCC" w:rsidRDefault="00A21FCC">
      <w:r>
        <w:rPr>
          <w:sz w:val="24"/>
        </w:rPr>
        <w:t xml:space="preserve"> </w:t>
      </w:r>
    </w:p>
  </w:endnote>
  <w:endnote w:type="continuationNotice" w:id="1">
    <w:p w14:paraId="3BE9A6D3" w14:textId="77777777" w:rsidR="00A21FCC" w:rsidRDefault="00A21FC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5F2FF" w14:textId="77777777" w:rsidR="00A4699C" w:rsidRDefault="00445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9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7DCCE" w14:textId="77777777" w:rsidR="00A4699C" w:rsidRDefault="00A469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7BF6" w14:textId="77777777" w:rsidR="00941EE3" w:rsidRPr="00AD1E95" w:rsidRDefault="00AD1E95" w:rsidP="0068552D">
    <w:pPr>
      <w:pStyle w:val="Footer"/>
      <w:rPr>
        <w:rFonts w:ascii="Times New Roman" w:hAnsi="Times New Roman"/>
        <w:color w:val="7F7F7F" w:themeColor="text1" w:themeTint="80"/>
      </w:rPr>
    </w:pPr>
    <w:r w:rsidRPr="00AD1E95">
      <w:rPr>
        <w:rFonts w:ascii="Times New Roman" w:hAnsi="Times New Roman"/>
        <w:i/>
        <w:color w:val="7F7F7F" w:themeColor="text1" w:themeTint="80"/>
      </w:rPr>
      <w:t>Avinash Verma</w:t>
    </w:r>
    <w:r w:rsidRPr="00AD1E95">
      <w:rPr>
        <w:rFonts w:ascii="Times New Roman" w:hAnsi="Times New Roman"/>
        <w:i/>
        <w:color w:val="7F7F7F" w:themeColor="text1" w:themeTint="80"/>
      </w:rPr>
      <w:ptab w:relativeTo="margin" w:alignment="center" w:leader="none"/>
    </w:r>
    <w:r w:rsidR="00BB617B">
      <w:rPr>
        <w:rFonts w:ascii="Times New Roman" w:hAnsi="Times New Roman"/>
        <w:i/>
        <w:color w:val="7F7F7F" w:themeColor="text1" w:themeTint="80"/>
      </w:rPr>
      <w:t xml:space="preserve">October </w:t>
    </w:r>
    <w:r w:rsidR="003C0D35">
      <w:rPr>
        <w:rFonts w:ascii="Times New Roman" w:hAnsi="Times New Roman"/>
        <w:i/>
        <w:color w:val="7F7F7F" w:themeColor="text1" w:themeTint="80"/>
      </w:rPr>
      <w:t>201</w:t>
    </w:r>
    <w:r w:rsidR="007019C5">
      <w:rPr>
        <w:rFonts w:ascii="Times New Roman" w:hAnsi="Times New Roman"/>
        <w:i/>
        <w:color w:val="7F7F7F" w:themeColor="text1" w:themeTint="80"/>
      </w:rPr>
      <w:t>6</w:t>
    </w:r>
    <w:r w:rsidRPr="00AD1E95">
      <w:rPr>
        <w:rFonts w:ascii="Times New Roman" w:hAnsi="Times New Roman"/>
        <w:color w:val="7F7F7F" w:themeColor="text1" w:themeTint="80"/>
      </w:rPr>
      <w:ptab w:relativeTo="margin" w:alignment="right" w:leader="none"/>
    </w:r>
    <w:r w:rsidR="004456CD" w:rsidRPr="00AD1E95">
      <w:rPr>
        <w:rFonts w:ascii="Times New Roman" w:hAnsi="Times New Roman"/>
        <w:color w:val="7F7F7F" w:themeColor="text1" w:themeTint="80"/>
      </w:rPr>
      <w:fldChar w:fldCharType="begin"/>
    </w:r>
    <w:r w:rsidRPr="00AD1E95">
      <w:rPr>
        <w:rFonts w:ascii="Times New Roman" w:hAnsi="Times New Roman"/>
        <w:color w:val="7F7F7F" w:themeColor="text1" w:themeTint="80"/>
      </w:rPr>
      <w:instrText xml:space="preserve"> PAGE   \* MERGEFORMAT </w:instrText>
    </w:r>
    <w:r w:rsidR="004456CD" w:rsidRPr="00AD1E95">
      <w:rPr>
        <w:rFonts w:ascii="Times New Roman" w:hAnsi="Times New Roman"/>
        <w:color w:val="7F7F7F" w:themeColor="text1" w:themeTint="80"/>
      </w:rPr>
      <w:fldChar w:fldCharType="separate"/>
    </w:r>
    <w:r w:rsidR="00954FAB">
      <w:rPr>
        <w:rFonts w:ascii="Times New Roman" w:hAnsi="Times New Roman"/>
        <w:noProof/>
        <w:color w:val="7F7F7F" w:themeColor="text1" w:themeTint="80"/>
      </w:rPr>
      <w:t>3</w:t>
    </w:r>
    <w:r w:rsidR="004456CD" w:rsidRPr="00AD1E95">
      <w:rPr>
        <w:rFonts w:ascii="Times New Roman" w:hAnsi="Times New Roman"/>
        <w:noProof/>
        <w:color w:val="7F7F7F" w:themeColor="text1" w:themeTint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1BC2D" w14:textId="54529368" w:rsidR="00AC5A4D" w:rsidRPr="00482785" w:rsidRDefault="000B3574" w:rsidP="00482785">
    <w:pPr>
      <w:pStyle w:val="Footer"/>
    </w:pPr>
    <w:r w:rsidRPr="000B3574">
      <w:rPr>
        <w:i/>
        <w:color w:val="D9D9D9" w:themeColor="background1" w:themeShade="D9"/>
      </w:rPr>
      <w:t>Avinash Verma</w:t>
    </w:r>
    <w:r w:rsidRPr="000B3574">
      <w:rPr>
        <w:i/>
        <w:color w:val="D9D9D9" w:themeColor="background1" w:themeShade="D9"/>
      </w:rPr>
      <w:ptab w:relativeTo="margin" w:alignment="center" w:leader="none"/>
    </w:r>
    <w:r w:rsidR="00313650">
      <w:rPr>
        <w:i/>
        <w:color w:val="D9D9D9" w:themeColor="background1" w:themeShade="D9"/>
      </w:rPr>
      <w:t>Ma</w:t>
    </w:r>
    <w:r w:rsidR="00954FAB">
      <w:rPr>
        <w:i/>
        <w:color w:val="D9D9D9" w:themeColor="background1" w:themeShade="D9"/>
      </w:rPr>
      <w:t>y</w:t>
    </w:r>
    <w:r w:rsidR="00A442BE">
      <w:rPr>
        <w:i/>
        <w:color w:val="D9D9D9" w:themeColor="background1" w:themeShade="D9"/>
      </w:rPr>
      <w:t xml:space="preserve"> </w:t>
    </w:r>
    <w:r w:rsidR="00A442BE">
      <w:rPr>
        <w:i/>
        <w:color w:val="D9D9D9" w:themeColor="background1" w:themeShade="D9"/>
      </w:rPr>
      <w:t>201</w:t>
    </w:r>
    <w:r w:rsidR="00313650">
      <w:rPr>
        <w:i/>
        <w:color w:val="D9D9D9" w:themeColor="background1" w:themeShade="D9"/>
      </w:rPr>
      <w:t>9</w:t>
    </w:r>
    <w:bookmarkStart w:id="0" w:name="_GoBack"/>
    <w:bookmarkEnd w:id="0"/>
    <w:r>
      <w:ptab w:relativeTo="margin" w:alignment="right" w:leader="none"/>
    </w:r>
    <w:r w:rsidR="004456CD">
      <w:fldChar w:fldCharType="begin"/>
    </w:r>
    <w:r>
      <w:instrText xml:space="preserve"> PAGE   \* MERGEFORMAT </w:instrText>
    </w:r>
    <w:r w:rsidR="004456CD">
      <w:fldChar w:fldCharType="separate"/>
    </w:r>
    <w:r w:rsidR="00954FAB">
      <w:rPr>
        <w:noProof/>
      </w:rPr>
      <w:t>1</w:t>
    </w:r>
    <w:r w:rsidR="004456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648B2" w14:textId="77777777" w:rsidR="00A21FCC" w:rsidRDefault="00A21FCC">
      <w:r>
        <w:rPr>
          <w:sz w:val="24"/>
        </w:rPr>
        <w:separator/>
      </w:r>
    </w:p>
  </w:footnote>
  <w:footnote w:type="continuationSeparator" w:id="0">
    <w:p w14:paraId="47305213" w14:textId="77777777" w:rsidR="00A21FCC" w:rsidRDefault="00A2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53C81" w14:textId="77777777" w:rsidR="00313650" w:rsidRDefault="003136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6717" w14:textId="77777777" w:rsidR="00313650" w:rsidRDefault="00313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EF37" w14:textId="77777777" w:rsidR="00313650" w:rsidRDefault="00313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1F7C"/>
    <w:multiLevelType w:val="hybridMultilevel"/>
    <w:tmpl w:val="1BEED4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7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54219AF"/>
    <w:multiLevelType w:val="hybridMultilevel"/>
    <w:tmpl w:val="1D12C3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2C2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A45182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32118A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4AD643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62A44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422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0A91190"/>
    <w:multiLevelType w:val="hybridMultilevel"/>
    <w:tmpl w:val="74E4E4B0"/>
    <w:lvl w:ilvl="0" w:tplc="A7421C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70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3230A4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6BC134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3D04B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E4C"/>
    <w:rsid w:val="0000170A"/>
    <w:rsid w:val="000315E4"/>
    <w:rsid w:val="000334EA"/>
    <w:rsid w:val="00080FCB"/>
    <w:rsid w:val="000B3574"/>
    <w:rsid w:val="00112193"/>
    <w:rsid w:val="001651D4"/>
    <w:rsid w:val="001741EC"/>
    <w:rsid w:val="001B310E"/>
    <w:rsid w:val="001C0BDC"/>
    <w:rsid w:val="001D6AA6"/>
    <w:rsid w:val="001E0C1C"/>
    <w:rsid w:val="001E31FC"/>
    <w:rsid w:val="001E772D"/>
    <w:rsid w:val="001F0E70"/>
    <w:rsid w:val="0021635D"/>
    <w:rsid w:val="00272223"/>
    <w:rsid w:val="00272E02"/>
    <w:rsid w:val="00280F59"/>
    <w:rsid w:val="002C25BB"/>
    <w:rsid w:val="002F1E16"/>
    <w:rsid w:val="00313650"/>
    <w:rsid w:val="0031532A"/>
    <w:rsid w:val="00317369"/>
    <w:rsid w:val="00317DC3"/>
    <w:rsid w:val="003309C1"/>
    <w:rsid w:val="003438FD"/>
    <w:rsid w:val="00347942"/>
    <w:rsid w:val="0036017E"/>
    <w:rsid w:val="00382D09"/>
    <w:rsid w:val="00392251"/>
    <w:rsid w:val="00394DF1"/>
    <w:rsid w:val="00395173"/>
    <w:rsid w:val="003C0D35"/>
    <w:rsid w:val="003E7A30"/>
    <w:rsid w:val="00401C8A"/>
    <w:rsid w:val="004104D8"/>
    <w:rsid w:val="00415694"/>
    <w:rsid w:val="004456CD"/>
    <w:rsid w:val="00446EE6"/>
    <w:rsid w:val="004556E7"/>
    <w:rsid w:val="00462168"/>
    <w:rsid w:val="00482785"/>
    <w:rsid w:val="00482940"/>
    <w:rsid w:val="00483475"/>
    <w:rsid w:val="004A19E6"/>
    <w:rsid w:val="004A77DE"/>
    <w:rsid w:val="004F5019"/>
    <w:rsid w:val="005311BF"/>
    <w:rsid w:val="00561DB5"/>
    <w:rsid w:val="0057316B"/>
    <w:rsid w:val="00580149"/>
    <w:rsid w:val="00584664"/>
    <w:rsid w:val="00584F62"/>
    <w:rsid w:val="005A1BBC"/>
    <w:rsid w:val="005B60B7"/>
    <w:rsid w:val="005C0768"/>
    <w:rsid w:val="005F51C9"/>
    <w:rsid w:val="0060050C"/>
    <w:rsid w:val="0063079E"/>
    <w:rsid w:val="00632C6D"/>
    <w:rsid w:val="00650486"/>
    <w:rsid w:val="0065443C"/>
    <w:rsid w:val="006634EE"/>
    <w:rsid w:val="006751DD"/>
    <w:rsid w:val="0068038A"/>
    <w:rsid w:val="0068552D"/>
    <w:rsid w:val="006B4E50"/>
    <w:rsid w:val="006E5A59"/>
    <w:rsid w:val="006F7D0D"/>
    <w:rsid w:val="0070105D"/>
    <w:rsid w:val="007019C5"/>
    <w:rsid w:val="00703D1E"/>
    <w:rsid w:val="00711D32"/>
    <w:rsid w:val="0072020C"/>
    <w:rsid w:val="00720D46"/>
    <w:rsid w:val="00743D7B"/>
    <w:rsid w:val="0074644C"/>
    <w:rsid w:val="007641CC"/>
    <w:rsid w:val="007968E2"/>
    <w:rsid w:val="007A4B1B"/>
    <w:rsid w:val="007C1467"/>
    <w:rsid w:val="007D7D05"/>
    <w:rsid w:val="007E5DA6"/>
    <w:rsid w:val="007E632D"/>
    <w:rsid w:val="007E7066"/>
    <w:rsid w:val="008143EA"/>
    <w:rsid w:val="00832748"/>
    <w:rsid w:val="008372C2"/>
    <w:rsid w:val="00840194"/>
    <w:rsid w:val="008A0A13"/>
    <w:rsid w:val="008A0B7C"/>
    <w:rsid w:val="008B5C02"/>
    <w:rsid w:val="00907E4D"/>
    <w:rsid w:val="009203AE"/>
    <w:rsid w:val="00941EE3"/>
    <w:rsid w:val="00946AAF"/>
    <w:rsid w:val="00954FAB"/>
    <w:rsid w:val="00987C98"/>
    <w:rsid w:val="00990B62"/>
    <w:rsid w:val="0099474D"/>
    <w:rsid w:val="009B058E"/>
    <w:rsid w:val="009C6C60"/>
    <w:rsid w:val="009D0499"/>
    <w:rsid w:val="009D16C7"/>
    <w:rsid w:val="00A027AF"/>
    <w:rsid w:val="00A038B2"/>
    <w:rsid w:val="00A21FCC"/>
    <w:rsid w:val="00A2260F"/>
    <w:rsid w:val="00A22CFD"/>
    <w:rsid w:val="00A27BC1"/>
    <w:rsid w:val="00A3426C"/>
    <w:rsid w:val="00A438A7"/>
    <w:rsid w:val="00A442BE"/>
    <w:rsid w:val="00A4699C"/>
    <w:rsid w:val="00A77572"/>
    <w:rsid w:val="00A86138"/>
    <w:rsid w:val="00AC5941"/>
    <w:rsid w:val="00AC5A4D"/>
    <w:rsid w:val="00AC71D7"/>
    <w:rsid w:val="00AD1E95"/>
    <w:rsid w:val="00AE7E4C"/>
    <w:rsid w:val="00AF0582"/>
    <w:rsid w:val="00B05E40"/>
    <w:rsid w:val="00B44E63"/>
    <w:rsid w:val="00B53B36"/>
    <w:rsid w:val="00B57066"/>
    <w:rsid w:val="00B72ADD"/>
    <w:rsid w:val="00B93975"/>
    <w:rsid w:val="00BB617B"/>
    <w:rsid w:val="00BF70A5"/>
    <w:rsid w:val="00C06FB0"/>
    <w:rsid w:val="00C1531E"/>
    <w:rsid w:val="00C5341A"/>
    <w:rsid w:val="00C54574"/>
    <w:rsid w:val="00C60F9A"/>
    <w:rsid w:val="00C9029F"/>
    <w:rsid w:val="00C93005"/>
    <w:rsid w:val="00CD4BE4"/>
    <w:rsid w:val="00CD5B2C"/>
    <w:rsid w:val="00D220B9"/>
    <w:rsid w:val="00D6549C"/>
    <w:rsid w:val="00DC5985"/>
    <w:rsid w:val="00E2487D"/>
    <w:rsid w:val="00E40F18"/>
    <w:rsid w:val="00E63D0A"/>
    <w:rsid w:val="00E86137"/>
    <w:rsid w:val="00E94C1E"/>
    <w:rsid w:val="00EB51CB"/>
    <w:rsid w:val="00ED2921"/>
    <w:rsid w:val="00EF75CF"/>
    <w:rsid w:val="00F05D3C"/>
    <w:rsid w:val="00F1455F"/>
    <w:rsid w:val="00F52E59"/>
    <w:rsid w:val="00F71364"/>
    <w:rsid w:val="00FA4097"/>
    <w:rsid w:val="00FA4236"/>
    <w:rsid w:val="00FC0AA2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38FA315"/>
  <w15:docId w15:val="{1EB0A015-C3DF-4781-AE1E-37113CA7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5E4"/>
    <w:rPr>
      <w:rFonts w:ascii="Palatino" w:hAnsi="Palatino"/>
    </w:rPr>
  </w:style>
  <w:style w:type="paragraph" w:styleId="Heading1">
    <w:name w:val="heading 1"/>
    <w:basedOn w:val="Normal"/>
    <w:next w:val="Normal"/>
    <w:qFormat/>
    <w:rsid w:val="000315E4"/>
    <w:pPr>
      <w:keepNext/>
      <w:tabs>
        <w:tab w:val="left" w:pos="0"/>
        <w:tab w:val="left" w:pos="1440"/>
      </w:tabs>
      <w:suppressAutoHyphens/>
      <w:ind w:left="144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315E4"/>
    <w:pPr>
      <w:keepNext/>
      <w:outlineLvl w:val="1"/>
    </w:pPr>
    <w:rPr>
      <w:rFonts w:ascii="Times New Roman" w:hAnsi="Times New Roman"/>
      <w:b/>
      <w:sz w:val="24"/>
      <w:u w:val="single"/>
    </w:rPr>
  </w:style>
  <w:style w:type="paragraph" w:styleId="Heading3">
    <w:name w:val="heading 3"/>
    <w:basedOn w:val="Normal"/>
    <w:next w:val="Normal"/>
    <w:qFormat/>
    <w:rsid w:val="000315E4"/>
    <w:pPr>
      <w:keepNext/>
      <w:tabs>
        <w:tab w:val="left" w:pos="0"/>
        <w:tab w:val="left" w:pos="540"/>
        <w:tab w:val="left" w:pos="2340"/>
        <w:tab w:val="left" w:pos="2880"/>
      </w:tabs>
      <w:suppressAutoHyphens/>
      <w:ind w:left="5220" w:hanging="2340"/>
      <w:outlineLvl w:val="2"/>
    </w:pPr>
    <w:rPr>
      <w:rFonts w:ascii="Times New Roman" w:hAnsi="Times New Roman"/>
      <w:smallCaps/>
      <w:sz w:val="24"/>
    </w:rPr>
  </w:style>
  <w:style w:type="paragraph" w:styleId="Heading4">
    <w:name w:val="heading 4"/>
    <w:basedOn w:val="Normal"/>
    <w:next w:val="Normal"/>
    <w:qFormat/>
    <w:rsid w:val="000315E4"/>
    <w:pPr>
      <w:keepNext/>
      <w:tabs>
        <w:tab w:val="left" w:pos="0"/>
        <w:tab w:val="left" w:pos="540"/>
        <w:tab w:val="left" w:pos="2340"/>
        <w:tab w:val="left" w:pos="2880"/>
      </w:tabs>
      <w:suppressAutoHyphens/>
      <w:ind w:left="3060" w:hanging="234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0315E4"/>
    <w:pPr>
      <w:keepNext/>
      <w:tabs>
        <w:tab w:val="left" w:pos="0"/>
        <w:tab w:val="left" w:pos="540"/>
        <w:tab w:val="left" w:pos="2340"/>
        <w:tab w:val="left" w:pos="2880"/>
      </w:tabs>
      <w:suppressAutoHyphens/>
      <w:ind w:left="2340" w:hanging="234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rsid w:val="000315E4"/>
    <w:pPr>
      <w:keepNext/>
      <w:tabs>
        <w:tab w:val="left" w:pos="0"/>
        <w:tab w:val="left" w:pos="540"/>
        <w:tab w:val="left" w:pos="720"/>
      </w:tabs>
      <w:suppressAutoHyphens/>
      <w:spacing w:after="240"/>
      <w:ind w:left="540" w:hanging="540"/>
      <w:outlineLvl w:val="5"/>
    </w:pPr>
    <w:rPr>
      <w:rFonts w:ascii="Times New Roman" w:hAnsi="Times New Roman"/>
      <w:b/>
      <w:sz w:val="24"/>
      <w:u w:val="single"/>
    </w:rPr>
  </w:style>
  <w:style w:type="paragraph" w:styleId="Heading7">
    <w:name w:val="heading 7"/>
    <w:basedOn w:val="Normal"/>
    <w:next w:val="Normal"/>
    <w:qFormat/>
    <w:rsid w:val="000315E4"/>
    <w:pPr>
      <w:keepNext/>
      <w:tabs>
        <w:tab w:val="left" w:pos="0"/>
        <w:tab w:val="left" w:pos="1980"/>
        <w:tab w:val="left" w:pos="2160"/>
      </w:tabs>
      <w:suppressAutoHyphens/>
      <w:ind w:left="1980" w:hanging="1980"/>
      <w:outlineLvl w:val="6"/>
    </w:pPr>
    <w:rPr>
      <w:rFonts w:ascii="Times New Roman" w:hAnsi="Times New Roman"/>
      <w:b/>
      <w:sz w:val="24"/>
      <w:u w:val="single"/>
    </w:rPr>
  </w:style>
  <w:style w:type="paragraph" w:styleId="Heading8">
    <w:name w:val="heading 8"/>
    <w:basedOn w:val="Normal"/>
    <w:next w:val="Normal"/>
    <w:qFormat/>
    <w:rsid w:val="000315E4"/>
    <w:pPr>
      <w:keepNext/>
      <w:outlineLvl w:val="7"/>
    </w:pPr>
    <w:rPr>
      <w:rFonts w:ascii="Times New Roman" w:hAnsi="Times New Roman"/>
      <w:smallCaps/>
      <w:sz w:val="24"/>
    </w:rPr>
  </w:style>
  <w:style w:type="paragraph" w:styleId="Heading9">
    <w:name w:val="heading 9"/>
    <w:basedOn w:val="Normal"/>
    <w:next w:val="Normal"/>
    <w:qFormat/>
    <w:rsid w:val="000315E4"/>
    <w:pPr>
      <w:keepNext/>
      <w:tabs>
        <w:tab w:val="left" w:pos="0"/>
        <w:tab w:val="left" w:pos="1440"/>
      </w:tabs>
      <w:suppressAutoHyphens/>
      <w:outlineLvl w:val="8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0315E4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315E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315E4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315E4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315E4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315E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315E4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315E4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315E4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315E4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315E4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315E4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315E4"/>
    <w:rPr>
      <w:sz w:val="24"/>
    </w:rPr>
  </w:style>
  <w:style w:type="character" w:customStyle="1" w:styleId="EquationCaption">
    <w:name w:val="_Equation Caption"/>
    <w:rsid w:val="000315E4"/>
  </w:style>
  <w:style w:type="paragraph" w:styleId="Footer">
    <w:name w:val="footer"/>
    <w:basedOn w:val="Normal"/>
    <w:link w:val="FooterChar"/>
    <w:uiPriority w:val="99"/>
    <w:rsid w:val="00031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15E4"/>
  </w:style>
  <w:style w:type="paragraph" w:customStyle="1" w:styleId="PubList">
    <w:name w:val="Pub List"/>
    <w:basedOn w:val="Normal"/>
    <w:rsid w:val="000315E4"/>
    <w:pPr>
      <w:spacing w:before="40" w:after="40"/>
      <w:ind w:left="907" w:hanging="360"/>
    </w:pPr>
    <w:rPr>
      <w:rFonts w:ascii="Times New Roman" w:hAnsi="Times New Roman"/>
      <w:sz w:val="22"/>
    </w:rPr>
  </w:style>
  <w:style w:type="paragraph" w:customStyle="1" w:styleId="Standard">
    <w:name w:val="Standard"/>
    <w:basedOn w:val="Normal"/>
    <w:rsid w:val="000315E4"/>
    <w:pPr>
      <w:ind w:left="540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rsid w:val="000315E4"/>
    <w:pPr>
      <w:tabs>
        <w:tab w:val="left" w:pos="0"/>
        <w:tab w:val="left" w:pos="1980"/>
        <w:tab w:val="left" w:pos="2160"/>
      </w:tabs>
      <w:suppressAutoHyphens/>
      <w:ind w:left="1980" w:hanging="198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0315E4"/>
    <w:pPr>
      <w:tabs>
        <w:tab w:val="left" w:pos="0"/>
        <w:tab w:val="left" w:pos="1980"/>
        <w:tab w:val="left" w:pos="2160"/>
      </w:tabs>
      <w:suppressAutoHyphens/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0315E4"/>
    <w:pPr>
      <w:suppressAutoHyphens/>
      <w:jc w:val="center"/>
    </w:pPr>
    <w:rPr>
      <w:rFonts w:ascii="Times New Roman" w:hAnsi="Times New Roman"/>
      <w:b/>
      <w:smallCaps/>
      <w:sz w:val="28"/>
    </w:rPr>
  </w:style>
  <w:style w:type="character" w:styleId="Hyperlink">
    <w:name w:val="Hyperlink"/>
    <w:rsid w:val="000315E4"/>
    <w:rPr>
      <w:color w:val="0000FF"/>
      <w:u w:val="single"/>
    </w:rPr>
  </w:style>
  <w:style w:type="paragraph" w:styleId="BodyTextIndent2">
    <w:name w:val="Body Text Indent 2"/>
    <w:basedOn w:val="Normal"/>
    <w:rsid w:val="000315E4"/>
    <w:pPr>
      <w:tabs>
        <w:tab w:val="left" w:pos="0"/>
        <w:tab w:val="left" w:pos="540"/>
        <w:tab w:val="left" w:pos="720"/>
      </w:tabs>
      <w:suppressAutoHyphens/>
      <w:ind w:left="720"/>
    </w:pPr>
    <w:rPr>
      <w:rFonts w:ascii="Times New Roman" w:hAnsi="Times New Roman"/>
      <w:sz w:val="24"/>
    </w:rPr>
  </w:style>
  <w:style w:type="character" w:styleId="FollowedHyperlink">
    <w:name w:val="FollowedHyperlink"/>
    <w:rsid w:val="000315E4"/>
    <w:rPr>
      <w:color w:val="800080"/>
      <w:u w:val="single"/>
    </w:rPr>
  </w:style>
  <w:style w:type="paragraph" w:styleId="BodyTextIndent3">
    <w:name w:val="Body Text Indent 3"/>
    <w:basedOn w:val="Normal"/>
    <w:rsid w:val="000315E4"/>
    <w:pPr>
      <w:tabs>
        <w:tab w:val="left" w:pos="0"/>
        <w:tab w:val="left" w:pos="540"/>
        <w:tab w:val="left" w:pos="720"/>
      </w:tabs>
      <w:suppressAutoHyphens/>
      <w:spacing w:after="240"/>
      <w:ind w:left="1440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0315E4"/>
  </w:style>
  <w:style w:type="paragraph" w:styleId="Header">
    <w:name w:val="header"/>
    <w:basedOn w:val="Normal"/>
    <w:link w:val="HeaderChar"/>
    <w:rsid w:val="00941E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41EE3"/>
    <w:rPr>
      <w:rFonts w:ascii="Palatino" w:hAnsi="Palatino"/>
    </w:rPr>
  </w:style>
  <w:style w:type="character" w:customStyle="1" w:styleId="FooterChar">
    <w:name w:val="Footer Char"/>
    <w:link w:val="Footer"/>
    <w:uiPriority w:val="99"/>
    <w:rsid w:val="00941EE3"/>
    <w:rPr>
      <w:rFonts w:ascii="Palatino" w:hAnsi="Palatino"/>
    </w:rPr>
  </w:style>
  <w:style w:type="paragraph" w:styleId="BalloonText">
    <w:name w:val="Balloon Text"/>
    <w:basedOn w:val="Normal"/>
    <w:link w:val="BalloonTextChar"/>
    <w:rsid w:val="00AC5A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v02145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AVINASH KUMAR VERMA</vt:lpstr>
    </vt:vector>
  </TitlesOfParts>
  <Company>FTI Consulting</Company>
  <LinksUpToDate>false</LinksUpToDate>
  <CharactersWithSpaces>13727</CharactersWithSpaces>
  <SharedDoc>false</SharedDoc>
  <HLinks>
    <vt:vector size="6" baseType="variant">
      <vt:variant>
        <vt:i4>4653109</vt:i4>
      </vt:variant>
      <vt:variant>
        <vt:i4>0</vt:i4>
      </vt:variant>
      <vt:variant>
        <vt:i4>0</vt:i4>
      </vt:variant>
      <vt:variant>
        <vt:i4>5</vt:i4>
      </vt:variant>
      <vt:variant>
        <vt:lpwstr>mailto:av02145@yahoo.com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AVINASH KUMAR VERMA</dc:title>
  <dc:creator>Avinash Verma</dc:creator>
  <cp:lastModifiedBy>Avinash Verma</cp:lastModifiedBy>
  <cp:revision>2</cp:revision>
  <cp:lastPrinted>1997-04-14T21:07:00Z</cp:lastPrinted>
  <dcterms:created xsi:type="dcterms:W3CDTF">2019-05-01T18:06:00Z</dcterms:created>
  <dcterms:modified xsi:type="dcterms:W3CDTF">2019-05-01T18:06:00Z</dcterms:modified>
</cp:coreProperties>
</file>